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456" w:rsidRDefault="00F35456" w:rsidP="00F35456">
      <w:pPr>
        <w:jc w:val="center"/>
        <w:rPr>
          <w:rFonts w:ascii="Arial" w:hAnsi="Arial"/>
        </w:rPr>
      </w:pPr>
    </w:p>
    <w:p w:rsidR="009905DD" w:rsidRDefault="009905DD">
      <w:pPr>
        <w:ind w:left="1276" w:hanging="1276"/>
        <w:jc w:val="both"/>
        <w:rPr>
          <w:rFonts w:ascii="Arial" w:hAnsi="Arial"/>
          <w:sz w:val="24"/>
        </w:rPr>
      </w:pPr>
      <w:r>
        <w:rPr>
          <w:rFonts w:ascii="Arial" w:hAnsi="Arial"/>
          <w:sz w:val="24"/>
        </w:rPr>
        <w:t>OGGETTO:</w:t>
      </w:r>
      <w:r>
        <w:rPr>
          <w:rFonts w:ascii="Arial" w:hAnsi="Arial"/>
          <w:sz w:val="24"/>
        </w:rPr>
        <w:tab/>
        <w:t xml:space="preserve">Verbale di: - - - - - - - - - - - - - - - - - - - - - - - - - - - - - - - - -  - - - - - - - - - - - - - - - - - - - - - - </w:t>
      </w:r>
    </w:p>
    <w:p w:rsidR="009905DD" w:rsidRDefault="009905DD">
      <w:pPr>
        <w:numPr>
          <w:ilvl w:val="0"/>
          <w:numId w:val="1"/>
        </w:numPr>
        <w:jc w:val="both"/>
        <w:rPr>
          <w:rFonts w:ascii="Arial" w:hAnsi="Arial"/>
          <w:sz w:val="24"/>
        </w:rPr>
      </w:pPr>
      <w:r>
        <w:rPr>
          <w:rFonts w:ascii="Arial" w:hAnsi="Arial"/>
          <w:sz w:val="24"/>
        </w:rPr>
        <w:t>Identificazione dell’indagato (art. 349 C.P.P.)- - - - - - - - - - - - - - - - - - - - - - - - - - - - - - - - - - -</w:t>
      </w:r>
    </w:p>
    <w:p w:rsidR="009905DD" w:rsidRDefault="009905DD">
      <w:pPr>
        <w:numPr>
          <w:ilvl w:val="0"/>
          <w:numId w:val="1"/>
        </w:numPr>
        <w:jc w:val="both"/>
        <w:rPr>
          <w:rFonts w:ascii="Arial" w:hAnsi="Arial"/>
          <w:sz w:val="24"/>
        </w:rPr>
      </w:pPr>
      <w:r>
        <w:rPr>
          <w:rFonts w:ascii="Arial" w:hAnsi="Arial"/>
          <w:sz w:val="24"/>
        </w:rPr>
        <w:t>Contestazione del reato e notifica di essere sottoposto a indagini (art. 157 C.P.P.) - - - - - - - -</w:t>
      </w:r>
    </w:p>
    <w:p w:rsidR="009905DD" w:rsidRDefault="009905DD">
      <w:pPr>
        <w:numPr>
          <w:ilvl w:val="0"/>
          <w:numId w:val="1"/>
        </w:numPr>
        <w:jc w:val="both"/>
        <w:rPr>
          <w:rFonts w:ascii="Arial" w:hAnsi="Arial"/>
          <w:sz w:val="24"/>
        </w:rPr>
      </w:pPr>
      <w:r>
        <w:rPr>
          <w:rFonts w:ascii="Arial" w:hAnsi="Arial"/>
          <w:sz w:val="24"/>
        </w:rPr>
        <w:t xml:space="preserve">Elezione o dichiarazione di domicilio dell’indagato (art. 161 C.P.P.) - - - - - - - - - - - - - - - - - - - </w:t>
      </w:r>
    </w:p>
    <w:p w:rsidR="009905DD" w:rsidRDefault="009905DD">
      <w:pPr>
        <w:numPr>
          <w:ilvl w:val="0"/>
          <w:numId w:val="1"/>
        </w:numPr>
        <w:jc w:val="both"/>
        <w:rPr>
          <w:rFonts w:ascii="Arial" w:hAnsi="Arial"/>
          <w:sz w:val="24"/>
        </w:rPr>
      </w:pPr>
      <w:r>
        <w:rPr>
          <w:rFonts w:ascii="Arial" w:hAnsi="Arial"/>
          <w:sz w:val="24"/>
        </w:rPr>
        <w:t>Nomina di un difensore dell’indagato (artt. 96 e</w:t>
      </w:r>
      <w:r w:rsidR="009C6F25">
        <w:rPr>
          <w:rFonts w:ascii="Arial" w:hAnsi="Arial"/>
          <w:sz w:val="24"/>
        </w:rPr>
        <w:t xml:space="preserve"> </w:t>
      </w:r>
      <w:r>
        <w:rPr>
          <w:rFonts w:ascii="Arial" w:hAnsi="Arial"/>
          <w:sz w:val="24"/>
        </w:rPr>
        <w:t>97 C.P.P.)- - - - - - - - - - - - - - - - - - - - - - - - - -</w:t>
      </w:r>
    </w:p>
    <w:p w:rsidR="00505109" w:rsidRDefault="00B36E32">
      <w:pPr>
        <w:numPr>
          <w:ilvl w:val="0"/>
          <w:numId w:val="1"/>
        </w:numPr>
        <w:jc w:val="both"/>
        <w:rPr>
          <w:rFonts w:ascii="Arial" w:hAnsi="Arial"/>
          <w:sz w:val="24"/>
        </w:rPr>
      </w:pPr>
      <w:r>
        <w:rPr>
          <w:rFonts w:ascii="Arial" w:hAnsi="Arial"/>
          <w:sz w:val="24"/>
        </w:rPr>
        <w:t>Informazioni</w:t>
      </w:r>
      <w:r w:rsidR="00AB3C87">
        <w:rPr>
          <w:rFonts w:ascii="Arial" w:hAnsi="Arial"/>
          <w:sz w:val="24"/>
        </w:rPr>
        <w:t xml:space="preserve"> di garanzia inerenti diritti e facoltà dell’indagato</w:t>
      </w:r>
      <w:r w:rsidR="00D80BEB">
        <w:rPr>
          <w:rFonts w:ascii="Arial" w:hAnsi="Arial"/>
          <w:sz w:val="24"/>
        </w:rPr>
        <w:t xml:space="preserve"> (artt. 369 e 369 bis C.P.P)</w:t>
      </w:r>
      <w:r>
        <w:rPr>
          <w:rFonts w:ascii="Arial" w:hAnsi="Arial"/>
          <w:sz w:val="24"/>
        </w:rPr>
        <w:t xml:space="preserve"> - - - - - </w:t>
      </w:r>
    </w:p>
    <w:p w:rsidR="009905DD" w:rsidRDefault="009905DD">
      <w:pPr>
        <w:ind w:left="1276" w:hanging="1276"/>
        <w:jc w:val="both"/>
        <w:rPr>
          <w:b/>
          <w:noProof/>
        </w:rPr>
      </w:pPr>
    </w:p>
    <w:p w:rsidR="009905DD" w:rsidRDefault="00E53F23">
      <w:pPr>
        <w:jc w:val="both"/>
        <w:rPr>
          <w:rFonts w:ascii="Arial" w:hAnsi="Arial"/>
          <w:sz w:val="24"/>
        </w:rPr>
      </w:pPr>
      <w:r>
        <w:rPr>
          <w:rFonts w:ascii="Arial" w:hAnsi="Arial"/>
          <w:sz w:val="24"/>
        </w:rPr>
        <w:t xml:space="preserve">L'anno </w:t>
      </w:r>
      <w:r w:rsidR="00DF586A">
        <w:rPr>
          <w:rFonts w:ascii="Arial" w:hAnsi="Arial"/>
          <w:sz w:val="24"/>
        </w:rPr>
        <w:t>XXX</w:t>
      </w:r>
      <w:r w:rsidR="009905DD">
        <w:rPr>
          <w:rFonts w:ascii="Arial" w:hAnsi="Arial"/>
          <w:sz w:val="24"/>
        </w:rPr>
        <w:t xml:space="preserve"> addì </w:t>
      </w:r>
      <w:r w:rsidR="00DF586A">
        <w:rPr>
          <w:rFonts w:ascii="Arial" w:hAnsi="Arial"/>
          <w:sz w:val="24"/>
        </w:rPr>
        <w:t>XX</w:t>
      </w:r>
      <w:r w:rsidR="009905DD">
        <w:rPr>
          <w:rFonts w:ascii="Arial" w:hAnsi="Arial"/>
          <w:sz w:val="24"/>
        </w:rPr>
        <w:t xml:space="preserve"> del mese di </w:t>
      </w:r>
      <w:r w:rsidR="00DF586A">
        <w:rPr>
          <w:rFonts w:ascii="Arial" w:hAnsi="Arial"/>
          <w:sz w:val="24"/>
        </w:rPr>
        <w:t>XXXXX</w:t>
      </w:r>
      <w:r w:rsidR="009905DD">
        <w:rPr>
          <w:rFonts w:ascii="Arial" w:hAnsi="Arial"/>
          <w:sz w:val="24"/>
        </w:rPr>
        <w:t xml:space="preserve">, in </w:t>
      </w:r>
      <w:r w:rsidR="00970DED">
        <w:rPr>
          <w:rFonts w:ascii="Arial" w:hAnsi="Arial"/>
          <w:sz w:val="24"/>
        </w:rPr>
        <w:t>Albenga all’interno degli Uffici del Comando in intestazione</w:t>
      </w:r>
      <w:r w:rsidR="00C0147C">
        <w:rPr>
          <w:rFonts w:ascii="Arial" w:hAnsi="Arial"/>
          <w:sz w:val="24"/>
        </w:rPr>
        <w:t xml:space="preserve"> </w:t>
      </w:r>
      <w:r w:rsidR="009905DD">
        <w:rPr>
          <w:rFonts w:ascii="Arial" w:hAnsi="Arial"/>
          <w:sz w:val="24"/>
        </w:rPr>
        <w:t>alle ore</w:t>
      </w:r>
      <w:r w:rsidR="00981AF1">
        <w:rPr>
          <w:rFonts w:ascii="Arial" w:hAnsi="Arial"/>
          <w:sz w:val="24"/>
        </w:rPr>
        <w:t xml:space="preserve"> </w:t>
      </w:r>
      <w:r w:rsidR="00DF586A">
        <w:rPr>
          <w:rFonts w:ascii="Arial" w:hAnsi="Arial"/>
          <w:sz w:val="24"/>
        </w:rPr>
        <w:t>XX</w:t>
      </w:r>
      <w:r w:rsidR="003014DB">
        <w:rPr>
          <w:rFonts w:ascii="Arial" w:hAnsi="Arial"/>
          <w:sz w:val="24"/>
        </w:rPr>
        <w:t>.</w:t>
      </w:r>
      <w:r w:rsidR="00DF586A">
        <w:rPr>
          <w:rFonts w:ascii="Arial" w:hAnsi="Arial"/>
          <w:sz w:val="24"/>
        </w:rPr>
        <w:t>XX</w:t>
      </w:r>
      <w:r w:rsidR="00970DED">
        <w:rPr>
          <w:rFonts w:ascii="Arial" w:hAnsi="Arial"/>
          <w:sz w:val="24"/>
        </w:rPr>
        <w:t xml:space="preserve"> avanti al</w:t>
      </w:r>
      <w:r w:rsidR="009905DD">
        <w:rPr>
          <w:rFonts w:ascii="Arial" w:hAnsi="Arial"/>
          <w:sz w:val="24"/>
        </w:rPr>
        <w:t xml:space="preserve"> sotto</w:t>
      </w:r>
      <w:r w:rsidR="00112738">
        <w:rPr>
          <w:rFonts w:ascii="Arial" w:hAnsi="Arial"/>
          <w:sz w:val="24"/>
        </w:rPr>
        <w:t>scritt</w:t>
      </w:r>
      <w:r w:rsidR="00970DED">
        <w:rPr>
          <w:rFonts w:ascii="Arial" w:hAnsi="Arial"/>
          <w:sz w:val="24"/>
        </w:rPr>
        <w:t>o</w:t>
      </w:r>
      <w:r w:rsidR="00981AF1">
        <w:rPr>
          <w:rFonts w:ascii="Arial" w:hAnsi="Arial"/>
          <w:sz w:val="24"/>
        </w:rPr>
        <w:t xml:space="preserve"> </w:t>
      </w:r>
      <w:r w:rsidR="00DF586A">
        <w:rPr>
          <w:rFonts w:ascii="Arial" w:hAnsi="Arial"/>
          <w:sz w:val="24"/>
        </w:rPr>
        <w:t>XXXXXXXX</w:t>
      </w:r>
      <w:r w:rsidR="00981AF1">
        <w:rPr>
          <w:rFonts w:ascii="Arial" w:hAnsi="Arial"/>
          <w:sz w:val="24"/>
        </w:rPr>
        <w:t xml:space="preserve"> </w:t>
      </w:r>
      <w:r w:rsidR="00970DED">
        <w:rPr>
          <w:rFonts w:ascii="Arial" w:hAnsi="Arial"/>
          <w:sz w:val="24"/>
        </w:rPr>
        <w:t>effettivo</w:t>
      </w:r>
      <w:r w:rsidR="00112738">
        <w:rPr>
          <w:rFonts w:ascii="Arial" w:hAnsi="Arial"/>
          <w:sz w:val="24"/>
        </w:rPr>
        <w:t xml:space="preserve"> al Comando in intestazione:</w:t>
      </w:r>
      <w:r w:rsidR="00C9173B">
        <w:rPr>
          <w:rFonts w:ascii="Arial" w:hAnsi="Arial"/>
          <w:sz w:val="24"/>
        </w:rPr>
        <w:t xml:space="preserve"> - </w:t>
      </w:r>
      <w:r w:rsidR="00970DED">
        <w:rPr>
          <w:rFonts w:ascii="Arial" w:hAnsi="Arial"/>
          <w:sz w:val="24"/>
        </w:rPr>
        <w:t xml:space="preserve">- </w:t>
      </w:r>
    </w:p>
    <w:p w:rsidR="009905DD" w:rsidRPr="00C0147C" w:rsidRDefault="009905DD" w:rsidP="00C0147C">
      <w:pPr>
        <w:numPr>
          <w:ilvl w:val="0"/>
          <w:numId w:val="2"/>
        </w:numPr>
        <w:jc w:val="both"/>
        <w:rPr>
          <w:rFonts w:ascii="Arial" w:hAnsi="Arial"/>
          <w:sz w:val="24"/>
        </w:rPr>
      </w:pPr>
      <w:r>
        <w:rPr>
          <w:rFonts w:ascii="Arial" w:hAnsi="Arial"/>
          <w:sz w:val="24"/>
        </w:rPr>
        <w:t xml:space="preserve">E’ presente </w:t>
      </w:r>
      <w:r w:rsidR="00DF586A">
        <w:rPr>
          <w:rFonts w:ascii="Arial" w:hAnsi="Arial"/>
          <w:b/>
          <w:bCs/>
          <w:sz w:val="24"/>
        </w:rPr>
        <w:t>XXXXXXXXXXXXX</w:t>
      </w:r>
      <w:r>
        <w:rPr>
          <w:rFonts w:ascii="Arial" w:hAnsi="Arial"/>
          <w:sz w:val="24"/>
        </w:rPr>
        <w:t>, di seguito generalizzat</w:t>
      </w:r>
      <w:r w:rsidR="00DF586A">
        <w:rPr>
          <w:rFonts w:ascii="Arial" w:hAnsi="Arial"/>
          <w:sz w:val="24"/>
        </w:rPr>
        <w:t>o</w:t>
      </w:r>
      <w:r>
        <w:rPr>
          <w:rFonts w:ascii="Arial" w:hAnsi="Arial"/>
          <w:sz w:val="24"/>
        </w:rPr>
        <w:t>, in qualità di persona nei cui confronti vengon</w:t>
      </w:r>
      <w:r w:rsidR="003014DB">
        <w:rPr>
          <w:rFonts w:ascii="Arial" w:hAnsi="Arial"/>
          <w:sz w:val="24"/>
        </w:rPr>
        <w:t xml:space="preserve">o svolte le indagini, </w:t>
      </w:r>
      <w:r w:rsidR="00DF586A">
        <w:rPr>
          <w:rFonts w:ascii="Arial" w:hAnsi="Arial"/>
          <w:sz w:val="24"/>
        </w:rPr>
        <w:t>i</w:t>
      </w:r>
      <w:r>
        <w:rPr>
          <w:rFonts w:ascii="Arial" w:hAnsi="Arial"/>
          <w:sz w:val="24"/>
        </w:rPr>
        <w:t>l quale è stato invitat</w:t>
      </w:r>
      <w:r w:rsidR="00DF586A">
        <w:rPr>
          <w:rFonts w:ascii="Arial" w:hAnsi="Arial"/>
          <w:sz w:val="24"/>
        </w:rPr>
        <w:t>o</w:t>
      </w:r>
      <w:r>
        <w:rPr>
          <w:rFonts w:ascii="Arial" w:hAnsi="Arial"/>
          <w:sz w:val="24"/>
        </w:rPr>
        <w:t xml:space="preserve"> a declinare le proprie generalità e ammonit</w:t>
      </w:r>
      <w:r w:rsidR="00DF586A">
        <w:rPr>
          <w:rFonts w:ascii="Arial" w:hAnsi="Arial"/>
          <w:sz w:val="24"/>
        </w:rPr>
        <w:t>o</w:t>
      </w:r>
      <w:r w:rsidR="00C0147C">
        <w:rPr>
          <w:rFonts w:ascii="Arial" w:hAnsi="Arial"/>
          <w:sz w:val="24"/>
        </w:rPr>
        <w:t xml:space="preserve"> </w:t>
      </w:r>
      <w:r w:rsidRPr="00C0147C">
        <w:rPr>
          <w:rFonts w:ascii="Arial" w:hAnsi="Arial"/>
          <w:sz w:val="24"/>
        </w:rPr>
        <w:t xml:space="preserve">circa le responsabilità di chi si rifiuta di declinarle le o le fornisce false. </w:t>
      </w:r>
      <w:r w:rsidR="00DF586A">
        <w:rPr>
          <w:rFonts w:ascii="Arial" w:hAnsi="Arial"/>
          <w:sz w:val="24"/>
        </w:rPr>
        <w:t>(EVENTUALE FOTOSEGNALAMENTO EX ART. 349 C. 2 C.P.P.)</w:t>
      </w:r>
      <w:r w:rsidR="001A57A5">
        <w:rPr>
          <w:rFonts w:ascii="Arial" w:hAnsi="Arial"/>
          <w:sz w:val="24"/>
        </w:rPr>
        <w:t xml:space="preserve">. - </w:t>
      </w:r>
      <w:r w:rsidR="00C9173B">
        <w:rPr>
          <w:rFonts w:ascii="Arial" w:hAnsi="Arial"/>
          <w:sz w:val="24"/>
        </w:rPr>
        <w:t xml:space="preserve">- - - - - - - - - - - - - - - - - - - - - - - - - - - - - </w:t>
      </w:r>
    </w:p>
    <w:p w:rsidR="009905DD" w:rsidRDefault="003014DB">
      <w:pPr>
        <w:numPr>
          <w:ilvl w:val="0"/>
          <w:numId w:val="2"/>
        </w:numPr>
        <w:jc w:val="both"/>
        <w:rPr>
          <w:rFonts w:ascii="Arial" w:hAnsi="Arial"/>
          <w:sz w:val="24"/>
        </w:rPr>
      </w:pPr>
      <w:r>
        <w:rPr>
          <w:rFonts w:ascii="Arial" w:hAnsi="Arial"/>
          <w:sz w:val="24"/>
        </w:rPr>
        <w:t>L’indagat</w:t>
      </w:r>
      <w:r w:rsidR="00DF586A">
        <w:rPr>
          <w:rFonts w:ascii="Arial" w:hAnsi="Arial"/>
          <w:sz w:val="24"/>
        </w:rPr>
        <w:t>o</w:t>
      </w:r>
      <w:r w:rsidR="009905DD">
        <w:rPr>
          <w:rFonts w:ascii="Arial" w:hAnsi="Arial"/>
          <w:sz w:val="24"/>
        </w:rPr>
        <w:t xml:space="preserve"> viene res</w:t>
      </w:r>
      <w:r w:rsidR="00DF586A">
        <w:rPr>
          <w:rFonts w:ascii="Arial" w:hAnsi="Arial"/>
          <w:sz w:val="24"/>
        </w:rPr>
        <w:t>o</w:t>
      </w:r>
      <w:r w:rsidR="009905DD">
        <w:rPr>
          <w:rFonts w:ascii="Arial" w:hAnsi="Arial"/>
          <w:sz w:val="24"/>
        </w:rPr>
        <w:t xml:space="preserve"> edott</w:t>
      </w:r>
      <w:r w:rsidR="00DF586A">
        <w:rPr>
          <w:rFonts w:ascii="Arial" w:hAnsi="Arial"/>
          <w:sz w:val="24"/>
        </w:rPr>
        <w:t>o</w:t>
      </w:r>
      <w:r w:rsidR="009905DD">
        <w:rPr>
          <w:rFonts w:ascii="Arial" w:hAnsi="Arial"/>
          <w:sz w:val="24"/>
        </w:rPr>
        <w:t xml:space="preserve"> del fatto che si sta procedendo nei suoi confronti </w:t>
      </w:r>
      <w:r w:rsidR="00981AF1">
        <w:rPr>
          <w:rFonts w:ascii="Arial" w:hAnsi="Arial"/>
          <w:sz w:val="24"/>
        </w:rPr>
        <w:t xml:space="preserve">per </w:t>
      </w:r>
      <w:r w:rsidR="00DF586A">
        <w:rPr>
          <w:rFonts w:ascii="Arial" w:hAnsi="Arial"/>
          <w:b/>
          <w:sz w:val="24"/>
        </w:rPr>
        <w:t>XXXX</w:t>
      </w:r>
      <w:r w:rsidR="00C9173B">
        <w:rPr>
          <w:rFonts w:ascii="Arial" w:hAnsi="Arial"/>
          <w:b/>
          <w:sz w:val="24"/>
        </w:rPr>
        <w:t xml:space="preserve"> (art. </w:t>
      </w:r>
      <w:r w:rsidR="00DF586A">
        <w:rPr>
          <w:rFonts w:ascii="Arial" w:hAnsi="Arial"/>
          <w:b/>
          <w:sz w:val="24"/>
        </w:rPr>
        <w:t>XX</w:t>
      </w:r>
      <w:r w:rsidR="00C9173B">
        <w:rPr>
          <w:rFonts w:ascii="Arial" w:hAnsi="Arial"/>
          <w:b/>
          <w:sz w:val="24"/>
        </w:rPr>
        <w:t xml:space="preserve"> c. </w:t>
      </w:r>
      <w:r w:rsidR="00DF586A">
        <w:rPr>
          <w:rFonts w:ascii="Arial" w:hAnsi="Arial"/>
          <w:b/>
          <w:sz w:val="24"/>
        </w:rPr>
        <w:t>XX</w:t>
      </w:r>
      <w:r w:rsidR="00C9173B">
        <w:rPr>
          <w:rFonts w:ascii="Arial" w:hAnsi="Arial"/>
          <w:b/>
          <w:sz w:val="24"/>
        </w:rPr>
        <w:t xml:space="preserve"> </w:t>
      </w:r>
      <w:r w:rsidR="00DF586A">
        <w:rPr>
          <w:rFonts w:ascii="Arial" w:hAnsi="Arial"/>
          <w:b/>
          <w:sz w:val="24"/>
        </w:rPr>
        <w:t>C.P.</w:t>
      </w:r>
      <w:r w:rsidR="00C9173B">
        <w:rPr>
          <w:rFonts w:ascii="Arial" w:hAnsi="Arial"/>
          <w:b/>
          <w:sz w:val="24"/>
        </w:rPr>
        <w:t>)</w:t>
      </w:r>
      <w:r w:rsidR="00970DED" w:rsidRPr="00970DED">
        <w:rPr>
          <w:rFonts w:ascii="Arial" w:hAnsi="Arial"/>
          <w:sz w:val="24"/>
        </w:rPr>
        <w:t xml:space="preserve"> </w:t>
      </w:r>
      <w:r w:rsidR="009905DD">
        <w:rPr>
          <w:rFonts w:ascii="Arial" w:hAnsi="Arial"/>
          <w:sz w:val="24"/>
        </w:rPr>
        <w:t>mediante consegna di copia del presente verbale nelle sue mani ai sensi dell’art.</w:t>
      </w:r>
      <w:r w:rsidR="001A57A5">
        <w:rPr>
          <w:rFonts w:ascii="Arial" w:hAnsi="Arial"/>
          <w:sz w:val="24"/>
        </w:rPr>
        <w:t xml:space="preserve"> 157/1. - - - - </w:t>
      </w:r>
      <w:r w:rsidR="00970DED">
        <w:rPr>
          <w:rFonts w:ascii="Arial" w:hAnsi="Arial"/>
          <w:sz w:val="24"/>
        </w:rPr>
        <w:t>- - - - - - -</w:t>
      </w:r>
      <w:r w:rsidR="00346977">
        <w:rPr>
          <w:rFonts w:ascii="Arial" w:hAnsi="Arial"/>
          <w:sz w:val="24"/>
        </w:rPr>
        <w:t xml:space="preserve"> - - - - - - - - - - - - - - </w:t>
      </w:r>
      <w:r w:rsidR="00DF586A">
        <w:rPr>
          <w:rFonts w:ascii="Arial" w:hAnsi="Arial"/>
          <w:sz w:val="24"/>
        </w:rPr>
        <w:t xml:space="preserve">- - - - - - - - - - - - - - - - - - - - - - - - - - - - - - - </w:t>
      </w:r>
    </w:p>
    <w:p w:rsidR="009905DD" w:rsidRPr="00AB3C87" w:rsidRDefault="00DF586A" w:rsidP="00AB3C87">
      <w:pPr>
        <w:numPr>
          <w:ilvl w:val="0"/>
          <w:numId w:val="2"/>
        </w:numPr>
        <w:autoSpaceDE w:val="0"/>
        <w:autoSpaceDN w:val="0"/>
        <w:adjustRightInd w:val="0"/>
        <w:jc w:val="both"/>
        <w:rPr>
          <w:rFonts w:ascii="Arial" w:hAnsi="Arial"/>
          <w:sz w:val="24"/>
        </w:rPr>
      </w:pPr>
      <w:r>
        <w:rPr>
          <w:rFonts w:ascii="Arial" w:hAnsi="Arial"/>
          <w:sz w:val="24"/>
        </w:rPr>
        <w:t>L'interessato</w:t>
      </w:r>
      <w:r w:rsidR="009905DD" w:rsidRPr="00AB3C87">
        <w:rPr>
          <w:rFonts w:ascii="Arial" w:hAnsi="Arial"/>
          <w:sz w:val="24"/>
        </w:rPr>
        <w:t xml:space="preserve"> viene invitat</w:t>
      </w:r>
      <w:r>
        <w:rPr>
          <w:rFonts w:ascii="Arial" w:hAnsi="Arial"/>
          <w:sz w:val="24"/>
        </w:rPr>
        <w:t>o</w:t>
      </w:r>
      <w:r w:rsidR="009905DD" w:rsidRPr="00AB3C87">
        <w:rPr>
          <w:rFonts w:ascii="Arial" w:hAnsi="Arial"/>
          <w:sz w:val="24"/>
        </w:rPr>
        <w:t xml:space="preserve"> a dichiarare uno dei luoghi indicati nell'art. 157/1 del C.P.P. (luogo di abitazione o luogo in cui esercita abitualmente attività lavorativa) o ad eleggere domicilio per le notificazioni ai sensi dell’art. 161 C.P.P., previo avvertimento che ha l'obbligo di comunicare ogni mutamento del domicilio dichiarato o eletto, nelle forme stabilite dall'art. 162/1-2 C.P.P. e che in mancanza di tale comunicazione, ovvero nel caso di rifiuto di dichiarare o eleggere domicilio, le notificazioni verranno eseguite m</w:t>
      </w:r>
      <w:r w:rsidR="00DE1FC1" w:rsidRPr="00AB3C87">
        <w:rPr>
          <w:rFonts w:ascii="Arial" w:hAnsi="Arial"/>
          <w:sz w:val="24"/>
        </w:rPr>
        <w:t xml:space="preserve">ediante consegna </w:t>
      </w:r>
      <w:r w:rsidR="00112738" w:rsidRPr="00AB3C87">
        <w:rPr>
          <w:rFonts w:ascii="Arial" w:hAnsi="Arial"/>
          <w:sz w:val="24"/>
        </w:rPr>
        <w:t>al difensore</w:t>
      </w:r>
      <w:r w:rsidR="00AB3C87">
        <w:rPr>
          <w:rFonts w:ascii="Arial" w:hAnsi="Arial"/>
          <w:sz w:val="24"/>
        </w:rPr>
        <w:t>.</w:t>
      </w:r>
      <w:r w:rsidR="00AB3C87" w:rsidRPr="00AB3C87">
        <w:rPr>
          <w:rFonts w:ascii="Arial" w:hAnsi="Arial"/>
          <w:sz w:val="24"/>
        </w:rPr>
        <w:t xml:space="preserve"> </w:t>
      </w:r>
      <w:r w:rsidR="00AB3C87">
        <w:rPr>
          <w:rFonts w:ascii="Arial" w:hAnsi="Arial"/>
          <w:sz w:val="24"/>
        </w:rPr>
        <w:t>T</w:t>
      </w:r>
      <w:r w:rsidR="00AB3C87" w:rsidRPr="00AB3C87">
        <w:rPr>
          <w:rFonts w:ascii="Arial" w:hAnsi="Arial"/>
          <w:sz w:val="24"/>
        </w:rPr>
        <w:t xml:space="preserve">utte le successive comunicazioni  relative  al  procedimento  verranno  effettuate  </w:t>
      </w:r>
      <w:r w:rsidR="00C83DD7">
        <w:rPr>
          <w:rFonts w:ascii="Arial" w:hAnsi="Arial"/>
          <w:sz w:val="24"/>
        </w:rPr>
        <w:t>con le modalità prescelte</w:t>
      </w:r>
      <w:r w:rsidR="00AB3C87" w:rsidRPr="00AB3C87">
        <w:rPr>
          <w:rFonts w:ascii="Arial" w:hAnsi="Arial"/>
          <w:sz w:val="24"/>
        </w:rPr>
        <w:t>, ai fini della conoscenza dell'ulteriore corso del procedimento e dell'eventuale successivo processo, sarà suo onere acquisire</w:t>
      </w:r>
      <w:r w:rsidR="00650DBF">
        <w:rPr>
          <w:rFonts w:ascii="Arial" w:hAnsi="Arial"/>
          <w:sz w:val="24"/>
        </w:rPr>
        <w:t xml:space="preserve"> ivi</w:t>
      </w:r>
      <w:r w:rsidR="00AB3C87" w:rsidRPr="00AB3C87">
        <w:rPr>
          <w:rFonts w:ascii="Arial" w:hAnsi="Arial"/>
          <w:sz w:val="24"/>
        </w:rPr>
        <w:t xml:space="preserve"> periodicamente informazioni.</w:t>
      </w:r>
      <w:r>
        <w:rPr>
          <w:rFonts w:ascii="Arial" w:hAnsi="Arial"/>
          <w:sz w:val="24"/>
        </w:rPr>
        <w:t>-</w:t>
      </w:r>
      <w:r w:rsidR="00AB3C87">
        <w:rPr>
          <w:rFonts w:ascii="Arial" w:hAnsi="Arial"/>
          <w:sz w:val="24"/>
        </w:rPr>
        <w:t xml:space="preserve"> </w:t>
      </w:r>
    </w:p>
    <w:p w:rsidR="009905DD" w:rsidRDefault="009905DD">
      <w:pPr>
        <w:numPr>
          <w:ilvl w:val="0"/>
          <w:numId w:val="2"/>
        </w:numPr>
        <w:jc w:val="both"/>
        <w:rPr>
          <w:rFonts w:ascii="Arial" w:hAnsi="Arial"/>
          <w:sz w:val="24"/>
        </w:rPr>
      </w:pPr>
      <w:r>
        <w:rPr>
          <w:rFonts w:ascii="Arial" w:hAnsi="Arial"/>
          <w:sz w:val="24"/>
        </w:rPr>
        <w:t>Viene invitat</w:t>
      </w:r>
      <w:r w:rsidR="00DF586A">
        <w:rPr>
          <w:rFonts w:ascii="Arial" w:hAnsi="Arial"/>
          <w:sz w:val="24"/>
        </w:rPr>
        <w:t>o</w:t>
      </w:r>
      <w:r>
        <w:rPr>
          <w:rFonts w:ascii="Arial" w:hAnsi="Arial"/>
          <w:sz w:val="24"/>
        </w:rPr>
        <w:t xml:space="preserve"> a nominare un difensore di fiducia ai sensi dell’art. 96 C.P.P e notiziato che può avvalersi di quello d’ufficio, che verrà comunque nominato nel caso non ne nomini alcuno ai sensi dell’art. 97 del C.P.P.- - - - - - - - - - - - - - - - - - - - - - - - - - - - - - - - - - - - - - - - - - - - - - - - - </w:t>
      </w:r>
    </w:p>
    <w:p w:rsidR="003153D6" w:rsidRPr="003153D6" w:rsidRDefault="003153D6" w:rsidP="003153D6">
      <w:pPr>
        <w:pStyle w:val="Paragrafoelenco"/>
        <w:numPr>
          <w:ilvl w:val="0"/>
          <w:numId w:val="2"/>
        </w:numPr>
        <w:jc w:val="both"/>
        <w:rPr>
          <w:rFonts w:ascii="Arial" w:hAnsi="Arial"/>
          <w:sz w:val="24"/>
        </w:rPr>
      </w:pPr>
      <w:r w:rsidRPr="003153D6">
        <w:rPr>
          <w:rFonts w:ascii="Arial" w:hAnsi="Arial"/>
          <w:sz w:val="24"/>
        </w:rPr>
        <w:t xml:space="preserve">Vengono in fine rammentati gli avvisi elencati sul retro. - - - - - - - - - - - - - - - - - - </w:t>
      </w:r>
      <w:r>
        <w:rPr>
          <w:rFonts w:ascii="Arial" w:hAnsi="Arial"/>
          <w:sz w:val="24"/>
        </w:rPr>
        <w:t>- - - - - - - - - -</w:t>
      </w:r>
    </w:p>
    <w:p w:rsidR="009905DD" w:rsidRDefault="009905DD">
      <w:pPr>
        <w:jc w:val="both"/>
        <w:rPr>
          <w:rFonts w:ascii="Arial" w:hAnsi="Arial"/>
          <w:sz w:val="24"/>
        </w:rPr>
      </w:pPr>
      <w:r>
        <w:rPr>
          <w:rFonts w:ascii="Arial" w:hAnsi="Arial"/>
          <w:sz w:val="24"/>
        </w:rPr>
        <w:t xml:space="preserve">La persona nei cui confronti vengono svolte le indagini, interpellata in merito, così risponde: - - - - - - -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630"/>
        <w:gridCol w:w="8148"/>
      </w:tblGrid>
      <w:tr w:rsidR="009905DD">
        <w:trPr>
          <w:cantSplit/>
          <w:jc w:val="center"/>
        </w:trPr>
        <w:tc>
          <w:tcPr>
            <w:tcW w:w="1630" w:type="dxa"/>
            <w:vMerge w:val="restart"/>
            <w:tcBorders>
              <w:top w:val="single" w:sz="12" w:space="0" w:color="auto"/>
              <w:left w:val="single" w:sz="12" w:space="0" w:color="auto"/>
              <w:right w:val="single" w:sz="12" w:space="0" w:color="auto"/>
            </w:tcBorders>
            <w:vAlign w:val="center"/>
          </w:tcPr>
          <w:p w:rsidR="009905DD" w:rsidRDefault="009905DD">
            <w:pPr>
              <w:jc w:val="center"/>
              <w:rPr>
                <w:rFonts w:ascii="Arial" w:hAnsi="Arial"/>
                <w:b/>
                <w:i/>
                <w:sz w:val="24"/>
              </w:rPr>
            </w:pPr>
            <w:r>
              <w:rPr>
                <w:rFonts w:ascii="Arial" w:hAnsi="Arial"/>
                <w:b/>
                <w:i/>
                <w:sz w:val="24"/>
              </w:rPr>
              <w:t>Sono e mi chiamo</w:t>
            </w:r>
          </w:p>
        </w:tc>
        <w:tc>
          <w:tcPr>
            <w:tcW w:w="8148" w:type="dxa"/>
            <w:tcBorders>
              <w:top w:val="single" w:sz="12" w:space="0" w:color="auto"/>
              <w:left w:val="nil"/>
              <w:right w:val="single" w:sz="12" w:space="0" w:color="auto"/>
            </w:tcBorders>
          </w:tcPr>
          <w:p w:rsidR="009905DD" w:rsidRDefault="00DE1FC1" w:rsidP="00DF586A">
            <w:pPr>
              <w:rPr>
                <w:rFonts w:ascii="Arial" w:hAnsi="Arial"/>
                <w:i/>
                <w:sz w:val="24"/>
              </w:rPr>
            </w:pPr>
            <w:r>
              <w:rPr>
                <w:rFonts w:ascii="Arial" w:hAnsi="Arial"/>
                <w:i/>
                <w:sz w:val="24"/>
              </w:rPr>
              <w:t xml:space="preserve">Cognome e Nome: </w:t>
            </w:r>
            <w:r w:rsidR="00DF586A">
              <w:rPr>
                <w:rFonts w:ascii="Arial" w:hAnsi="Arial"/>
                <w:b/>
                <w:i/>
                <w:sz w:val="24"/>
              </w:rPr>
              <w:t>XXXX XXXX</w:t>
            </w:r>
            <w:r w:rsidR="001F4D27" w:rsidRPr="001F4D27">
              <w:rPr>
                <w:rFonts w:ascii="Arial" w:hAnsi="Arial"/>
                <w:b/>
                <w:i/>
                <w:sz w:val="24"/>
              </w:rPr>
              <w:t xml:space="preserve"> (CUI </w:t>
            </w:r>
            <w:r w:rsidR="00DF586A">
              <w:rPr>
                <w:rFonts w:ascii="Arial" w:hAnsi="Arial"/>
                <w:b/>
                <w:i/>
                <w:sz w:val="24"/>
              </w:rPr>
              <w:t>XXXXXX</w:t>
            </w:r>
            <w:r w:rsidR="001F4D27" w:rsidRPr="001F4D27">
              <w:rPr>
                <w:rFonts w:ascii="Arial" w:hAnsi="Arial"/>
                <w:b/>
                <w:i/>
                <w:sz w:val="24"/>
              </w:rPr>
              <w:t>)</w:t>
            </w:r>
          </w:p>
        </w:tc>
      </w:tr>
      <w:tr w:rsidR="009905DD">
        <w:trPr>
          <w:cantSplit/>
          <w:jc w:val="center"/>
        </w:trPr>
        <w:tc>
          <w:tcPr>
            <w:tcW w:w="1630" w:type="dxa"/>
            <w:vMerge/>
            <w:tcBorders>
              <w:left w:val="single" w:sz="12" w:space="0" w:color="auto"/>
              <w:right w:val="single" w:sz="12" w:space="0" w:color="auto"/>
            </w:tcBorders>
          </w:tcPr>
          <w:p w:rsidR="009905DD" w:rsidRDefault="009905DD">
            <w:pPr>
              <w:jc w:val="center"/>
              <w:rPr>
                <w:rFonts w:ascii="Arial" w:hAnsi="Arial"/>
                <w:b/>
                <w:i/>
                <w:sz w:val="24"/>
              </w:rPr>
            </w:pPr>
          </w:p>
        </w:tc>
        <w:tc>
          <w:tcPr>
            <w:tcW w:w="8148" w:type="dxa"/>
            <w:tcBorders>
              <w:left w:val="nil"/>
              <w:right w:val="single" w:sz="12" w:space="0" w:color="auto"/>
            </w:tcBorders>
          </w:tcPr>
          <w:p w:rsidR="009905DD" w:rsidRDefault="00DF586A" w:rsidP="00C9173B">
            <w:pPr>
              <w:rPr>
                <w:rFonts w:ascii="Arial" w:hAnsi="Arial"/>
                <w:i/>
                <w:sz w:val="24"/>
              </w:rPr>
            </w:pPr>
            <w:r>
              <w:rPr>
                <w:rFonts w:ascii="Arial" w:hAnsi="Arial"/>
                <w:i/>
                <w:sz w:val="24"/>
              </w:rPr>
              <w:t>Data e luogo di nascita:</w:t>
            </w:r>
          </w:p>
        </w:tc>
      </w:tr>
      <w:tr w:rsidR="009905DD">
        <w:trPr>
          <w:cantSplit/>
          <w:jc w:val="center"/>
        </w:trPr>
        <w:tc>
          <w:tcPr>
            <w:tcW w:w="1630" w:type="dxa"/>
            <w:vMerge/>
            <w:tcBorders>
              <w:left w:val="single" w:sz="12" w:space="0" w:color="auto"/>
              <w:right w:val="single" w:sz="12" w:space="0" w:color="auto"/>
            </w:tcBorders>
          </w:tcPr>
          <w:p w:rsidR="009905DD" w:rsidRDefault="009905DD">
            <w:pPr>
              <w:jc w:val="center"/>
              <w:rPr>
                <w:rFonts w:ascii="Arial" w:hAnsi="Arial"/>
                <w:b/>
                <w:i/>
                <w:sz w:val="24"/>
              </w:rPr>
            </w:pPr>
          </w:p>
        </w:tc>
        <w:tc>
          <w:tcPr>
            <w:tcW w:w="8148" w:type="dxa"/>
            <w:tcBorders>
              <w:left w:val="nil"/>
              <w:right w:val="single" w:sz="12" w:space="0" w:color="auto"/>
            </w:tcBorders>
          </w:tcPr>
          <w:p w:rsidR="009905DD" w:rsidRDefault="00DF586A" w:rsidP="00C9173B">
            <w:pPr>
              <w:rPr>
                <w:rFonts w:ascii="Arial" w:hAnsi="Arial"/>
                <w:i/>
                <w:sz w:val="24"/>
              </w:rPr>
            </w:pPr>
            <w:r>
              <w:rPr>
                <w:rFonts w:ascii="Arial" w:hAnsi="Arial"/>
                <w:i/>
                <w:sz w:val="24"/>
              </w:rPr>
              <w:t>Residenza:</w:t>
            </w:r>
          </w:p>
        </w:tc>
      </w:tr>
      <w:tr w:rsidR="009905DD">
        <w:trPr>
          <w:cantSplit/>
          <w:jc w:val="center"/>
        </w:trPr>
        <w:tc>
          <w:tcPr>
            <w:tcW w:w="1630" w:type="dxa"/>
            <w:vMerge/>
            <w:tcBorders>
              <w:left w:val="single" w:sz="12" w:space="0" w:color="auto"/>
              <w:right w:val="single" w:sz="12" w:space="0" w:color="auto"/>
            </w:tcBorders>
          </w:tcPr>
          <w:p w:rsidR="009905DD" w:rsidRDefault="009905DD">
            <w:pPr>
              <w:jc w:val="center"/>
              <w:rPr>
                <w:rFonts w:ascii="Arial" w:hAnsi="Arial"/>
                <w:b/>
                <w:i/>
                <w:sz w:val="24"/>
              </w:rPr>
            </w:pPr>
          </w:p>
        </w:tc>
        <w:tc>
          <w:tcPr>
            <w:tcW w:w="8148" w:type="dxa"/>
            <w:tcBorders>
              <w:left w:val="nil"/>
              <w:right w:val="single" w:sz="12" w:space="0" w:color="auto"/>
            </w:tcBorders>
          </w:tcPr>
          <w:p w:rsidR="009905DD" w:rsidRDefault="00DF586A" w:rsidP="00C9173B">
            <w:pPr>
              <w:rPr>
                <w:rFonts w:ascii="Arial" w:hAnsi="Arial"/>
                <w:i/>
                <w:sz w:val="24"/>
              </w:rPr>
            </w:pPr>
            <w:r>
              <w:rPr>
                <w:rFonts w:ascii="Arial" w:hAnsi="Arial"/>
                <w:i/>
                <w:sz w:val="24"/>
              </w:rPr>
              <w:t>Domiciliato:</w:t>
            </w:r>
          </w:p>
        </w:tc>
      </w:tr>
      <w:tr w:rsidR="009905DD">
        <w:trPr>
          <w:cantSplit/>
          <w:trHeight w:val="95"/>
          <w:jc w:val="center"/>
        </w:trPr>
        <w:tc>
          <w:tcPr>
            <w:tcW w:w="1630" w:type="dxa"/>
            <w:vMerge/>
            <w:tcBorders>
              <w:left w:val="single" w:sz="12" w:space="0" w:color="auto"/>
              <w:right w:val="single" w:sz="12" w:space="0" w:color="auto"/>
            </w:tcBorders>
          </w:tcPr>
          <w:p w:rsidR="009905DD" w:rsidRDefault="009905DD">
            <w:pPr>
              <w:jc w:val="center"/>
              <w:rPr>
                <w:rFonts w:ascii="Arial" w:hAnsi="Arial"/>
                <w:b/>
                <w:i/>
                <w:sz w:val="24"/>
              </w:rPr>
            </w:pPr>
          </w:p>
        </w:tc>
        <w:tc>
          <w:tcPr>
            <w:tcW w:w="8148" w:type="dxa"/>
            <w:tcBorders>
              <w:left w:val="nil"/>
              <w:bottom w:val="nil"/>
              <w:right w:val="single" w:sz="12" w:space="0" w:color="auto"/>
            </w:tcBorders>
          </w:tcPr>
          <w:p w:rsidR="009905DD" w:rsidRDefault="00DF586A" w:rsidP="00C9173B">
            <w:pPr>
              <w:jc w:val="both"/>
              <w:rPr>
                <w:rFonts w:ascii="Arial" w:hAnsi="Arial"/>
                <w:i/>
                <w:sz w:val="24"/>
              </w:rPr>
            </w:pPr>
            <w:r>
              <w:rPr>
                <w:rFonts w:ascii="Arial" w:hAnsi="Arial"/>
                <w:i/>
                <w:sz w:val="24"/>
              </w:rPr>
              <w:t>Documento:</w:t>
            </w:r>
          </w:p>
        </w:tc>
      </w:tr>
      <w:tr w:rsidR="009905DD">
        <w:trPr>
          <w:cantSplit/>
          <w:trHeight w:val="95"/>
          <w:jc w:val="center"/>
        </w:trPr>
        <w:tc>
          <w:tcPr>
            <w:tcW w:w="1630" w:type="dxa"/>
            <w:vMerge/>
            <w:tcBorders>
              <w:left w:val="single" w:sz="12" w:space="0" w:color="auto"/>
              <w:right w:val="single" w:sz="12" w:space="0" w:color="auto"/>
            </w:tcBorders>
          </w:tcPr>
          <w:p w:rsidR="009905DD" w:rsidRDefault="009905DD">
            <w:pPr>
              <w:jc w:val="center"/>
              <w:rPr>
                <w:rFonts w:ascii="Arial" w:hAnsi="Arial"/>
                <w:b/>
                <w:i/>
                <w:sz w:val="24"/>
              </w:rPr>
            </w:pPr>
          </w:p>
        </w:tc>
        <w:tc>
          <w:tcPr>
            <w:tcW w:w="8148" w:type="dxa"/>
            <w:tcBorders>
              <w:left w:val="nil"/>
              <w:bottom w:val="nil"/>
              <w:right w:val="single" w:sz="12" w:space="0" w:color="auto"/>
            </w:tcBorders>
          </w:tcPr>
          <w:p w:rsidR="009905DD" w:rsidRDefault="009905DD" w:rsidP="00C9173B">
            <w:pPr>
              <w:rPr>
                <w:rFonts w:ascii="Arial" w:hAnsi="Arial"/>
                <w:i/>
                <w:sz w:val="24"/>
              </w:rPr>
            </w:pPr>
            <w:r>
              <w:rPr>
                <w:rFonts w:ascii="Arial" w:hAnsi="Arial"/>
                <w:i/>
                <w:sz w:val="24"/>
              </w:rPr>
              <w:t>Soprannome:</w:t>
            </w:r>
            <w:r w:rsidR="00112738">
              <w:rPr>
                <w:rFonts w:ascii="Arial" w:hAnsi="Arial"/>
                <w:i/>
                <w:sz w:val="24"/>
              </w:rPr>
              <w:t xml:space="preserve">                           </w:t>
            </w:r>
            <w:r w:rsidR="00981AF1">
              <w:rPr>
                <w:rFonts w:ascii="Arial" w:hAnsi="Arial"/>
                <w:i/>
                <w:sz w:val="24"/>
              </w:rPr>
              <w:t xml:space="preserve">  </w:t>
            </w:r>
            <w:r>
              <w:rPr>
                <w:rFonts w:ascii="Arial" w:hAnsi="Arial"/>
                <w:i/>
                <w:sz w:val="24"/>
              </w:rPr>
              <w:t>Professione:</w:t>
            </w:r>
          </w:p>
        </w:tc>
      </w:tr>
      <w:tr w:rsidR="009905DD">
        <w:trPr>
          <w:cantSplit/>
          <w:trHeight w:val="95"/>
          <w:jc w:val="center"/>
        </w:trPr>
        <w:tc>
          <w:tcPr>
            <w:tcW w:w="1630" w:type="dxa"/>
            <w:vMerge/>
            <w:tcBorders>
              <w:left w:val="single" w:sz="12" w:space="0" w:color="auto"/>
              <w:bottom w:val="single" w:sz="12" w:space="0" w:color="auto"/>
              <w:right w:val="single" w:sz="12" w:space="0" w:color="auto"/>
            </w:tcBorders>
          </w:tcPr>
          <w:p w:rsidR="009905DD" w:rsidRDefault="009905DD">
            <w:pPr>
              <w:jc w:val="center"/>
              <w:rPr>
                <w:rFonts w:ascii="Arial" w:hAnsi="Arial"/>
                <w:b/>
                <w:i/>
                <w:sz w:val="24"/>
              </w:rPr>
            </w:pPr>
          </w:p>
        </w:tc>
        <w:tc>
          <w:tcPr>
            <w:tcW w:w="8148" w:type="dxa"/>
            <w:tcBorders>
              <w:left w:val="nil"/>
              <w:bottom w:val="single" w:sz="12" w:space="0" w:color="auto"/>
              <w:right w:val="single" w:sz="12" w:space="0" w:color="auto"/>
            </w:tcBorders>
          </w:tcPr>
          <w:p w:rsidR="009905DD" w:rsidRDefault="00112738" w:rsidP="00C9173B">
            <w:pPr>
              <w:rPr>
                <w:rFonts w:ascii="Arial" w:hAnsi="Arial"/>
                <w:i/>
                <w:sz w:val="24"/>
              </w:rPr>
            </w:pPr>
            <w:r>
              <w:rPr>
                <w:rFonts w:ascii="Arial" w:hAnsi="Arial"/>
                <w:i/>
                <w:sz w:val="24"/>
              </w:rPr>
              <w:t>Precedenti:</w:t>
            </w:r>
            <w:r w:rsidR="00DF586A">
              <w:rPr>
                <w:rFonts w:ascii="Arial" w:hAnsi="Arial"/>
                <w:i/>
                <w:sz w:val="24"/>
              </w:rPr>
              <w:t xml:space="preserve">    </w:t>
            </w:r>
            <w:r>
              <w:rPr>
                <w:rFonts w:ascii="Arial" w:hAnsi="Arial"/>
                <w:i/>
                <w:sz w:val="24"/>
              </w:rPr>
              <w:t xml:space="preserve">       </w:t>
            </w:r>
            <w:r w:rsidR="009905DD">
              <w:rPr>
                <w:rFonts w:ascii="Arial" w:hAnsi="Arial"/>
                <w:i/>
                <w:sz w:val="24"/>
              </w:rPr>
              <w:t xml:space="preserve"> </w:t>
            </w:r>
            <w:r w:rsidR="00DE1FC1">
              <w:rPr>
                <w:rFonts w:ascii="Arial" w:hAnsi="Arial"/>
                <w:i/>
                <w:sz w:val="24"/>
              </w:rPr>
              <w:t xml:space="preserve">              </w:t>
            </w:r>
            <w:r>
              <w:rPr>
                <w:rFonts w:ascii="Arial" w:hAnsi="Arial"/>
                <w:i/>
                <w:sz w:val="24"/>
              </w:rPr>
              <w:t xml:space="preserve">      Beni patrimoniali: </w:t>
            </w:r>
          </w:p>
        </w:tc>
      </w:tr>
      <w:tr w:rsidR="009905DD">
        <w:trPr>
          <w:cantSplit/>
          <w:jc w:val="center"/>
        </w:trPr>
        <w:tc>
          <w:tcPr>
            <w:tcW w:w="1630" w:type="dxa"/>
            <w:vMerge w:val="restart"/>
            <w:tcBorders>
              <w:top w:val="nil"/>
              <w:left w:val="single" w:sz="12" w:space="0" w:color="auto"/>
              <w:right w:val="single" w:sz="12" w:space="0" w:color="auto"/>
            </w:tcBorders>
          </w:tcPr>
          <w:p w:rsidR="009905DD" w:rsidRDefault="009905DD">
            <w:pPr>
              <w:jc w:val="center"/>
              <w:rPr>
                <w:rFonts w:ascii="Arial" w:hAnsi="Arial"/>
                <w:b/>
                <w:i/>
                <w:sz w:val="24"/>
              </w:rPr>
            </w:pPr>
            <w:r>
              <w:rPr>
                <w:rFonts w:ascii="Arial" w:hAnsi="Arial"/>
                <w:b/>
                <w:i/>
                <w:sz w:val="24"/>
              </w:rPr>
              <w:t>Eleggo domicilio</w:t>
            </w:r>
          </w:p>
        </w:tc>
        <w:tc>
          <w:tcPr>
            <w:tcW w:w="8148" w:type="dxa"/>
            <w:tcBorders>
              <w:top w:val="single" w:sz="12" w:space="0" w:color="auto"/>
              <w:left w:val="nil"/>
              <w:bottom w:val="dotted" w:sz="4" w:space="0" w:color="auto"/>
              <w:right w:val="single" w:sz="12" w:space="0" w:color="auto"/>
            </w:tcBorders>
          </w:tcPr>
          <w:p w:rsidR="009905DD" w:rsidRDefault="009905DD" w:rsidP="003014DB">
            <w:pPr>
              <w:rPr>
                <w:rFonts w:ascii="Arial" w:hAnsi="Arial"/>
                <w:i/>
                <w:sz w:val="24"/>
              </w:rPr>
            </w:pPr>
          </w:p>
        </w:tc>
      </w:tr>
      <w:tr w:rsidR="009905DD">
        <w:trPr>
          <w:cantSplit/>
          <w:jc w:val="center"/>
        </w:trPr>
        <w:tc>
          <w:tcPr>
            <w:tcW w:w="1630" w:type="dxa"/>
            <w:vMerge/>
            <w:tcBorders>
              <w:left w:val="single" w:sz="12" w:space="0" w:color="auto"/>
              <w:right w:val="single" w:sz="12" w:space="0" w:color="auto"/>
            </w:tcBorders>
          </w:tcPr>
          <w:p w:rsidR="009905DD" w:rsidRDefault="009905DD">
            <w:pPr>
              <w:jc w:val="center"/>
              <w:rPr>
                <w:rFonts w:ascii="Arial" w:hAnsi="Arial"/>
                <w:b/>
                <w:i/>
                <w:sz w:val="24"/>
              </w:rPr>
            </w:pPr>
          </w:p>
        </w:tc>
        <w:tc>
          <w:tcPr>
            <w:tcW w:w="8148" w:type="dxa"/>
            <w:tcBorders>
              <w:top w:val="dotted" w:sz="4" w:space="0" w:color="auto"/>
              <w:left w:val="nil"/>
              <w:bottom w:val="dotted" w:sz="4" w:space="0" w:color="auto"/>
              <w:right w:val="single" w:sz="12" w:space="0" w:color="auto"/>
            </w:tcBorders>
          </w:tcPr>
          <w:p w:rsidR="009905DD" w:rsidRDefault="009905DD" w:rsidP="00A92C1C">
            <w:pPr>
              <w:rPr>
                <w:rFonts w:ascii="Arial" w:hAnsi="Arial"/>
                <w:i/>
                <w:sz w:val="24"/>
              </w:rPr>
            </w:pPr>
          </w:p>
        </w:tc>
      </w:tr>
      <w:tr w:rsidR="009905DD">
        <w:trPr>
          <w:cantSplit/>
          <w:jc w:val="center"/>
        </w:trPr>
        <w:tc>
          <w:tcPr>
            <w:tcW w:w="1630" w:type="dxa"/>
            <w:vMerge w:val="restart"/>
            <w:tcBorders>
              <w:top w:val="single" w:sz="12" w:space="0" w:color="auto"/>
              <w:left w:val="single" w:sz="12" w:space="0" w:color="auto"/>
              <w:bottom w:val="single" w:sz="12" w:space="0" w:color="auto"/>
              <w:right w:val="single" w:sz="12" w:space="0" w:color="auto"/>
            </w:tcBorders>
          </w:tcPr>
          <w:p w:rsidR="009905DD" w:rsidRDefault="009905DD" w:rsidP="003014DB">
            <w:pPr>
              <w:jc w:val="center"/>
              <w:rPr>
                <w:rFonts w:ascii="Arial" w:hAnsi="Arial"/>
                <w:b/>
                <w:i/>
                <w:sz w:val="24"/>
              </w:rPr>
            </w:pPr>
            <w:r>
              <w:rPr>
                <w:rFonts w:ascii="Arial" w:hAnsi="Arial"/>
                <w:b/>
                <w:i/>
                <w:sz w:val="24"/>
              </w:rPr>
              <w:t xml:space="preserve">Difensore </w:t>
            </w:r>
            <w:r w:rsidR="003014DB">
              <w:rPr>
                <w:rFonts w:ascii="Arial" w:hAnsi="Arial"/>
                <w:b/>
                <w:i/>
                <w:sz w:val="24"/>
              </w:rPr>
              <w:t>di fiducia</w:t>
            </w:r>
          </w:p>
        </w:tc>
        <w:tc>
          <w:tcPr>
            <w:tcW w:w="8148" w:type="dxa"/>
            <w:tcBorders>
              <w:top w:val="single" w:sz="12" w:space="0" w:color="auto"/>
              <w:left w:val="nil"/>
              <w:right w:val="single" w:sz="12" w:space="0" w:color="auto"/>
            </w:tcBorders>
          </w:tcPr>
          <w:p w:rsidR="009905DD" w:rsidRDefault="009905DD" w:rsidP="00A92C1C">
            <w:pPr>
              <w:rPr>
                <w:rFonts w:ascii="Arial" w:hAnsi="Arial"/>
                <w:i/>
                <w:sz w:val="24"/>
              </w:rPr>
            </w:pPr>
          </w:p>
        </w:tc>
      </w:tr>
      <w:tr w:rsidR="009905DD">
        <w:trPr>
          <w:cantSplit/>
          <w:jc w:val="center"/>
        </w:trPr>
        <w:tc>
          <w:tcPr>
            <w:tcW w:w="1630" w:type="dxa"/>
            <w:vMerge/>
            <w:tcBorders>
              <w:left w:val="single" w:sz="12" w:space="0" w:color="auto"/>
              <w:bottom w:val="single" w:sz="12" w:space="0" w:color="auto"/>
              <w:right w:val="single" w:sz="12" w:space="0" w:color="auto"/>
            </w:tcBorders>
          </w:tcPr>
          <w:p w:rsidR="009905DD" w:rsidRDefault="009905DD">
            <w:pPr>
              <w:jc w:val="center"/>
              <w:rPr>
                <w:rFonts w:ascii="Arial" w:hAnsi="Arial"/>
                <w:b/>
                <w:i/>
                <w:sz w:val="24"/>
              </w:rPr>
            </w:pPr>
          </w:p>
        </w:tc>
        <w:tc>
          <w:tcPr>
            <w:tcW w:w="8148" w:type="dxa"/>
            <w:tcBorders>
              <w:left w:val="nil"/>
              <w:bottom w:val="single" w:sz="12" w:space="0" w:color="auto"/>
              <w:right w:val="single" w:sz="12" w:space="0" w:color="auto"/>
            </w:tcBorders>
          </w:tcPr>
          <w:p w:rsidR="009905DD" w:rsidRDefault="009905DD" w:rsidP="00A92C1C">
            <w:pPr>
              <w:rPr>
                <w:rFonts w:ascii="Arial" w:hAnsi="Arial"/>
                <w:i/>
                <w:sz w:val="24"/>
              </w:rPr>
            </w:pPr>
          </w:p>
        </w:tc>
      </w:tr>
    </w:tbl>
    <w:p w:rsidR="00C83DD7" w:rsidRPr="00C83DD7" w:rsidRDefault="00C83DD7">
      <w:pPr>
        <w:jc w:val="both"/>
        <w:rPr>
          <w:rFonts w:ascii="Arial" w:hAnsi="Arial"/>
          <w:sz w:val="24"/>
        </w:rPr>
      </w:pPr>
      <w:r>
        <w:rPr>
          <w:rFonts w:ascii="Arial" w:hAnsi="Arial"/>
          <w:sz w:val="24"/>
        </w:rPr>
        <w:t>L</w:t>
      </w:r>
      <w:r w:rsidR="00A92C1C">
        <w:rPr>
          <w:rFonts w:ascii="Arial" w:hAnsi="Arial"/>
          <w:sz w:val="24"/>
        </w:rPr>
        <w:t>’interessat</w:t>
      </w:r>
      <w:r w:rsidR="00DF586A">
        <w:rPr>
          <w:rFonts w:ascii="Arial" w:hAnsi="Arial"/>
          <w:sz w:val="24"/>
        </w:rPr>
        <w:t>o</w:t>
      </w:r>
      <w:r w:rsidRPr="00C83DD7">
        <w:rPr>
          <w:rFonts w:ascii="Arial" w:hAnsi="Arial"/>
          <w:sz w:val="24"/>
        </w:rPr>
        <w:t xml:space="preserve"> dimostra di comprendere la lingua italiana scritta e orale in modo </w:t>
      </w:r>
      <w:r w:rsidR="00DF586A">
        <w:rPr>
          <w:rFonts w:ascii="Arial" w:hAnsi="Arial"/>
          <w:sz w:val="24"/>
        </w:rPr>
        <w:t>XXXX</w:t>
      </w:r>
      <w:r>
        <w:rPr>
          <w:rFonts w:ascii="Arial" w:hAnsi="Arial"/>
          <w:sz w:val="24"/>
        </w:rPr>
        <w:t xml:space="preserve"> giacché </w:t>
      </w:r>
      <w:r w:rsidR="00DF586A">
        <w:rPr>
          <w:rFonts w:ascii="Arial" w:hAnsi="Arial"/>
          <w:sz w:val="24"/>
        </w:rPr>
        <w:t>XXXXXXXXX</w:t>
      </w:r>
      <w:r w:rsidR="00F1614F">
        <w:rPr>
          <w:rFonts w:ascii="Arial" w:hAnsi="Arial"/>
          <w:sz w:val="24"/>
        </w:rPr>
        <w:t>.- - - - - - - - - - - - - - - - - - - - - - - - - - - -</w:t>
      </w:r>
      <w:r w:rsidR="00A92C1C">
        <w:rPr>
          <w:rFonts w:ascii="Arial" w:hAnsi="Arial"/>
          <w:sz w:val="24"/>
        </w:rPr>
        <w:t xml:space="preserve"> - - - - - - - - - - - - </w:t>
      </w:r>
      <w:r w:rsidR="00DF586A">
        <w:rPr>
          <w:rFonts w:ascii="Arial" w:hAnsi="Arial"/>
          <w:sz w:val="24"/>
        </w:rPr>
        <w:t xml:space="preserve"> - - - - - - - - - - - - - - - - - - - - - -</w:t>
      </w:r>
    </w:p>
    <w:p w:rsidR="009905DD" w:rsidRDefault="009905DD">
      <w:pPr>
        <w:jc w:val="both"/>
        <w:rPr>
          <w:rFonts w:ascii="Arial" w:hAnsi="Arial"/>
          <w:sz w:val="24"/>
        </w:rPr>
      </w:pPr>
      <w:r>
        <w:rPr>
          <w:rFonts w:ascii="Arial" w:hAnsi="Arial"/>
          <w:sz w:val="24"/>
        </w:rPr>
        <w:t xml:space="preserve">Il presente costituisce verbale, fatto, letto confermato e sottoscritto in data e luogo di cui sopra. - - - - </w:t>
      </w:r>
    </w:p>
    <w:p w:rsidR="009905DD" w:rsidRDefault="009905DD">
      <w:pPr>
        <w:jc w:val="both"/>
        <w:rPr>
          <w:rFonts w:ascii="Arial" w:hAnsi="Arial" w:cs="Arial"/>
          <w:b/>
          <w:sz w:val="16"/>
          <w:szCs w:val="16"/>
        </w:rPr>
      </w:pPr>
    </w:p>
    <w:p w:rsidR="00C80F5B" w:rsidRDefault="00C80F5B">
      <w:pPr>
        <w:pStyle w:val="Titolo2"/>
        <w:rPr>
          <w:b/>
          <w:bCs/>
          <w:sz w:val="40"/>
        </w:rPr>
      </w:pPr>
    </w:p>
    <w:p w:rsidR="00C80F5B" w:rsidRDefault="00C80F5B">
      <w:pPr>
        <w:pStyle w:val="Titolo2"/>
        <w:rPr>
          <w:b/>
          <w:bCs/>
          <w:sz w:val="40"/>
        </w:rPr>
      </w:pPr>
    </w:p>
    <w:p w:rsidR="00C80F5B" w:rsidRPr="00C80F5B" w:rsidRDefault="00C80F5B" w:rsidP="00C80F5B"/>
    <w:p w:rsidR="009905DD" w:rsidRDefault="009905DD">
      <w:pPr>
        <w:pStyle w:val="Titolo2"/>
        <w:rPr>
          <w:b/>
          <w:bCs/>
          <w:sz w:val="40"/>
        </w:rPr>
      </w:pPr>
      <w:r>
        <w:rPr>
          <w:b/>
          <w:bCs/>
          <w:sz w:val="40"/>
        </w:rPr>
        <w:lastRenderedPageBreak/>
        <w:t>SI AVVISA</w:t>
      </w:r>
    </w:p>
    <w:p w:rsidR="009905DD" w:rsidRPr="00C80F5B" w:rsidRDefault="009905DD">
      <w:pPr>
        <w:rPr>
          <w:sz w:val="14"/>
          <w:szCs w:val="14"/>
        </w:rPr>
      </w:pPr>
    </w:p>
    <w:p w:rsidR="003153D6" w:rsidRPr="00C80F5B" w:rsidRDefault="009905DD" w:rsidP="003153D6">
      <w:pPr>
        <w:numPr>
          <w:ilvl w:val="0"/>
          <w:numId w:val="3"/>
        </w:numPr>
        <w:jc w:val="both"/>
        <w:rPr>
          <w:rFonts w:ascii="Arial" w:hAnsi="Arial"/>
          <w:sz w:val="14"/>
          <w:szCs w:val="14"/>
        </w:rPr>
      </w:pPr>
      <w:r w:rsidRPr="00C80F5B">
        <w:rPr>
          <w:rFonts w:ascii="Arial" w:hAnsi="Arial"/>
          <w:sz w:val="14"/>
          <w:szCs w:val="14"/>
        </w:rPr>
        <w:t>che la difesa tecnica nel processo penale è obbligatoria</w:t>
      </w:r>
      <w:r w:rsidR="00E250D3" w:rsidRPr="00C80F5B">
        <w:rPr>
          <w:rFonts w:ascii="Arial" w:hAnsi="Arial"/>
          <w:sz w:val="14"/>
          <w:szCs w:val="14"/>
        </w:rPr>
        <w:t xml:space="preserve"> e ogni persona sottoposta a indagini ha facoltà di</w:t>
      </w:r>
      <w:r w:rsidR="0032327D" w:rsidRPr="00C80F5B">
        <w:rPr>
          <w:rFonts w:ascii="Arial" w:hAnsi="Arial"/>
          <w:sz w:val="14"/>
          <w:szCs w:val="14"/>
        </w:rPr>
        <w:t xml:space="preserve"> nominare</w:t>
      </w:r>
      <w:r w:rsidR="00E250D3" w:rsidRPr="00C80F5B">
        <w:rPr>
          <w:rFonts w:ascii="Arial" w:hAnsi="Arial"/>
          <w:sz w:val="14"/>
          <w:szCs w:val="14"/>
        </w:rPr>
        <w:t xml:space="preserve"> al più due difensori di fiducia, in difetto sarà assistito dal difensore nominato d’ufficio</w:t>
      </w:r>
      <w:r w:rsidRPr="00C80F5B">
        <w:rPr>
          <w:rFonts w:ascii="Arial" w:hAnsi="Arial"/>
          <w:sz w:val="14"/>
          <w:szCs w:val="14"/>
        </w:rPr>
        <w:t xml:space="preserve"> (art. 96 C.P.P.);</w:t>
      </w:r>
    </w:p>
    <w:p w:rsidR="003153D6" w:rsidRPr="00C80F5B" w:rsidRDefault="003153D6" w:rsidP="003153D6">
      <w:pPr>
        <w:numPr>
          <w:ilvl w:val="0"/>
          <w:numId w:val="3"/>
        </w:numPr>
        <w:jc w:val="both"/>
        <w:rPr>
          <w:rFonts w:ascii="Arial" w:hAnsi="Arial"/>
          <w:sz w:val="14"/>
          <w:szCs w:val="14"/>
        </w:rPr>
      </w:pPr>
      <w:r w:rsidRPr="00C80F5B">
        <w:rPr>
          <w:rFonts w:ascii="Arial" w:hAnsi="Arial"/>
          <w:sz w:val="14"/>
          <w:szCs w:val="14"/>
        </w:rPr>
        <w:t>che ha diritto di ottenere l’assistenza gratuita di un interprete e la traduzione degli atti fondamentali se non comprende la lingua italiana  (art. 369 bis C.P.P.);</w:t>
      </w:r>
    </w:p>
    <w:p w:rsidR="003153D6" w:rsidRPr="00C80F5B" w:rsidRDefault="003153D6" w:rsidP="003153D6">
      <w:pPr>
        <w:numPr>
          <w:ilvl w:val="0"/>
          <w:numId w:val="3"/>
        </w:numPr>
        <w:jc w:val="both"/>
        <w:rPr>
          <w:rFonts w:ascii="Arial" w:hAnsi="Arial"/>
          <w:sz w:val="14"/>
          <w:szCs w:val="14"/>
        </w:rPr>
      </w:pPr>
      <w:r w:rsidRPr="00C80F5B">
        <w:rPr>
          <w:rFonts w:ascii="Arial" w:hAnsi="Arial"/>
          <w:sz w:val="14"/>
          <w:szCs w:val="14"/>
        </w:rPr>
        <w:t>che la persona nei cui confronti vengono svolte le indagini, potrà usufruire del patrocinio a spese dello Stato, qualora ricorrano i presupposti per l'ammissione a tale beneficio (in particolare subordinatamente alle prescrizioni di cui all’art. 76, 77, 91 e 92 D.P.R. 115/2002), in caso contrario, permane l'obbligo di retribuire il difensore anche se nominato d'Ufficio (art. 103 D.P.R. 115/2002) ed in caso d’insolvenza si procederà ad esecuzione forzata. Comunque Può essere ammesso al patrocinio chi è titolare di un reddito imponibile ai fini dell'imposta personale sul reddito, risultante dall'ultima dichiarazione, non superiore a euro 11.369,24. Salvo quanto previsto dall'</w:t>
      </w:r>
      <w:hyperlink r:id="rId8" w:history="1">
        <w:r w:rsidRPr="00C80F5B">
          <w:rPr>
            <w:rFonts w:ascii="Arial" w:hAnsi="Arial"/>
            <w:sz w:val="14"/>
            <w:szCs w:val="14"/>
          </w:rPr>
          <w:t>articolo 92</w:t>
        </w:r>
      </w:hyperlink>
      <w:r w:rsidRPr="00C80F5B">
        <w:rPr>
          <w:rFonts w:ascii="Arial" w:hAnsi="Arial"/>
          <w:sz w:val="14"/>
          <w:szCs w:val="14"/>
        </w:rPr>
        <w:t>, se l'interessato convive con il coniuge o con altri familiari, il reddito è costituito dalla somma dei redditi conseguiti nel medesimo periodo da ogni componente della famiglia, compreso l'istante. Ai fini della determinazione dei limiti di reddito, si tiene conto anche dei redditi che per legge sono esenti dall'imposta sul reddito delle persone fisiche (IRPEF) o che sono soggetti a ritenuta alla fonte a titolo d'imposta, ovvero ad imposta sostitutiva. Si tiene conto del solo reddito personale quando sono oggetto della causa diritti della personalità, ovvero nei processi in cui gli interessi del richiedente sono in conflitto con quelli degli altri componenti il nucleo familiare con lui conviventi.</w:t>
      </w:r>
      <w:r w:rsidR="009C4F7B" w:rsidRPr="00C80F5B">
        <w:rPr>
          <w:rFonts w:ascii="Arial" w:hAnsi="Arial"/>
          <w:sz w:val="14"/>
          <w:szCs w:val="14"/>
        </w:rPr>
        <w:t xml:space="preserve"> Solo qualora l’indagato sia minorenne nulla sarà dovuto al difensore nominato d’ufficio che sarà pagato dallo Stato, solo alla fine vi sarà eventuale recupero nei confronti delle famiglie abbienti.</w:t>
      </w:r>
    </w:p>
    <w:p w:rsidR="009905DD" w:rsidRPr="00C80F5B" w:rsidRDefault="009905DD">
      <w:pPr>
        <w:numPr>
          <w:ilvl w:val="0"/>
          <w:numId w:val="3"/>
        </w:numPr>
        <w:jc w:val="both"/>
        <w:rPr>
          <w:rFonts w:ascii="Arial" w:hAnsi="Arial"/>
          <w:sz w:val="14"/>
          <w:szCs w:val="14"/>
        </w:rPr>
      </w:pPr>
      <w:r w:rsidRPr="00C80F5B">
        <w:rPr>
          <w:rFonts w:ascii="Arial" w:hAnsi="Arial"/>
          <w:sz w:val="14"/>
          <w:szCs w:val="14"/>
        </w:rPr>
        <w:t>che il difensore d’ufficio cessa le sue funzioni se viene nominato un difensore di fiducia. La rinuncia alla nomina da parte del difensore e la revoca del difensore non hanno effetto finché la parte non risulti assistita da altro difensore (art. 97 c. 6 C.P.P.)</w:t>
      </w:r>
    </w:p>
    <w:p w:rsidR="009905DD" w:rsidRPr="00C80F5B" w:rsidRDefault="009905DD">
      <w:pPr>
        <w:numPr>
          <w:ilvl w:val="0"/>
          <w:numId w:val="3"/>
        </w:numPr>
        <w:jc w:val="both"/>
        <w:rPr>
          <w:rFonts w:ascii="Arial" w:hAnsi="Arial"/>
          <w:sz w:val="14"/>
          <w:szCs w:val="14"/>
        </w:rPr>
      </w:pPr>
      <w:r w:rsidRPr="00C80F5B">
        <w:rPr>
          <w:rFonts w:ascii="Arial" w:hAnsi="Arial"/>
          <w:sz w:val="14"/>
          <w:szCs w:val="14"/>
        </w:rPr>
        <w:t>che il Codice di Procedura Penale, il suo regolamento d’attuazione e tutte le leggi modificative ed integrativa disciplinano compiutamente il rapporto processuale. Tuttavia si menziona che al difensore competono le facoltà e i diritti che la legge riconosce all’indagato a meno che essi  siano riservati personalmente a quest’ultimo e che l’indagato ha le facoltà e i diritti attribuiti per legge ed in particolare:</w:t>
      </w:r>
    </w:p>
    <w:p w:rsidR="009905DD" w:rsidRPr="00C80F5B" w:rsidRDefault="009905DD">
      <w:pPr>
        <w:numPr>
          <w:ilvl w:val="1"/>
          <w:numId w:val="3"/>
        </w:numPr>
        <w:jc w:val="both"/>
        <w:rPr>
          <w:rFonts w:ascii="Arial" w:hAnsi="Arial"/>
          <w:sz w:val="14"/>
          <w:szCs w:val="14"/>
        </w:rPr>
      </w:pPr>
      <w:r w:rsidRPr="00C80F5B">
        <w:rPr>
          <w:rFonts w:ascii="Arial" w:hAnsi="Arial"/>
          <w:sz w:val="14"/>
          <w:szCs w:val="14"/>
        </w:rPr>
        <w:t>di presentare memorie, istanze, richieste</w:t>
      </w:r>
      <w:r w:rsidR="001B5BB2" w:rsidRPr="00C80F5B">
        <w:rPr>
          <w:rFonts w:ascii="Arial" w:hAnsi="Arial"/>
          <w:sz w:val="14"/>
          <w:szCs w:val="14"/>
        </w:rPr>
        <w:t xml:space="preserve">, documenti </w:t>
      </w:r>
      <w:r w:rsidR="00E6439E" w:rsidRPr="00C80F5B">
        <w:rPr>
          <w:rFonts w:ascii="Arial" w:hAnsi="Arial"/>
          <w:sz w:val="14"/>
          <w:szCs w:val="14"/>
        </w:rPr>
        <w:t>relativi a indagini difensive</w:t>
      </w:r>
      <w:r w:rsidRPr="00C80F5B">
        <w:rPr>
          <w:rFonts w:ascii="Arial" w:hAnsi="Arial"/>
          <w:sz w:val="14"/>
          <w:szCs w:val="14"/>
        </w:rPr>
        <w:t xml:space="preserve"> o impugnazioni (art. 121 C.P.P)</w:t>
      </w:r>
      <w:r w:rsidR="00E6439E" w:rsidRPr="00C80F5B">
        <w:rPr>
          <w:rFonts w:ascii="Arial" w:hAnsi="Arial"/>
          <w:sz w:val="14"/>
          <w:szCs w:val="14"/>
        </w:rPr>
        <w:t>, ed in particolare presentare memorie avverso alla richiesta di proroga delle indagini preliminari (art. 406 C.P.P.) dirette al giudice</w:t>
      </w:r>
      <w:r w:rsidRPr="00C80F5B">
        <w:rPr>
          <w:rFonts w:ascii="Arial" w:hAnsi="Arial"/>
          <w:sz w:val="14"/>
          <w:szCs w:val="14"/>
        </w:rPr>
        <w:t>;</w:t>
      </w:r>
    </w:p>
    <w:p w:rsidR="009905DD" w:rsidRPr="00C80F5B" w:rsidRDefault="009905DD">
      <w:pPr>
        <w:numPr>
          <w:ilvl w:val="1"/>
          <w:numId w:val="3"/>
        </w:numPr>
        <w:jc w:val="both"/>
        <w:rPr>
          <w:rFonts w:ascii="Arial" w:hAnsi="Arial"/>
          <w:sz w:val="14"/>
          <w:szCs w:val="14"/>
        </w:rPr>
      </w:pPr>
      <w:r w:rsidRPr="00C80F5B">
        <w:rPr>
          <w:rFonts w:ascii="Arial" w:hAnsi="Arial"/>
          <w:sz w:val="14"/>
          <w:szCs w:val="14"/>
        </w:rPr>
        <w:t>di ottenere l’assistenza</w:t>
      </w:r>
      <w:r w:rsidR="00A70F4A" w:rsidRPr="00C80F5B">
        <w:rPr>
          <w:rFonts w:ascii="Arial" w:hAnsi="Arial"/>
          <w:sz w:val="14"/>
          <w:szCs w:val="14"/>
        </w:rPr>
        <w:t xml:space="preserve"> gratuita</w:t>
      </w:r>
      <w:r w:rsidRPr="00C80F5B">
        <w:rPr>
          <w:rFonts w:ascii="Arial" w:hAnsi="Arial"/>
          <w:sz w:val="14"/>
          <w:szCs w:val="14"/>
        </w:rPr>
        <w:t xml:space="preserve"> di un interprete se </w:t>
      </w:r>
      <w:r w:rsidR="00A70F4A" w:rsidRPr="00C80F5B">
        <w:rPr>
          <w:rFonts w:ascii="Arial" w:hAnsi="Arial"/>
          <w:sz w:val="14"/>
          <w:szCs w:val="14"/>
        </w:rPr>
        <w:t>non comprende la lingua italiana</w:t>
      </w:r>
      <w:r w:rsidRPr="00C80F5B">
        <w:rPr>
          <w:rFonts w:ascii="Arial" w:hAnsi="Arial"/>
          <w:sz w:val="14"/>
          <w:szCs w:val="14"/>
        </w:rPr>
        <w:t xml:space="preserve"> (art. 143 C.P.P.);</w:t>
      </w:r>
    </w:p>
    <w:p w:rsidR="009905DD" w:rsidRPr="00C80F5B" w:rsidRDefault="009905DD">
      <w:pPr>
        <w:numPr>
          <w:ilvl w:val="1"/>
          <w:numId w:val="3"/>
        </w:numPr>
        <w:jc w:val="both"/>
        <w:rPr>
          <w:rFonts w:ascii="Arial" w:hAnsi="Arial"/>
          <w:sz w:val="14"/>
          <w:szCs w:val="14"/>
        </w:rPr>
      </w:pPr>
      <w:r w:rsidRPr="00C80F5B">
        <w:rPr>
          <w:rFonts w:ascii="Arial" w:hAnsi="Arial"/>
          <w:sz w:val="14"/>
          <w:szCs w:val="14"/>
        </w:rPr>
        <w:t>di conferire con il difensore anche se detenuto salvo le eccezioni di cui all’art. 104 c.p.p.;</w:t>
      </w:r>
    </w:p>
    <w:p w:rsidR="009905DD" w:rsidRPr="00C80F5B" w:rsidRDefault="009905DD">
      <w:pPr>
        <w:numPr>
          <w:ilvl w:val="1"/>
          <w:numId w:val="3"/>
        </w:numPr>
        <w:jc w:val="both"/>
        <w:rPr>
          <w:rFonts w:ascii="Arial" w:hAnsi="Arial"/>
          <w:sz w:val="14"/>
          <w:szCs w:val="14"/>
        </w:rPr>
      </w:pPr>
      <w:r w:rsidRPr="00C80F5B">
        <w:rPr>
          <w:rFonts w:ascii="Arial" w:hAnsi="Arial"/>
          <w:sz w:val="14"/>
          <w:szCs w:val="14"/>
        </w:rPr>
        <w:t>di ricevere avvisi e notificazioni;</w:t>
      </w:r>
    </w:p>
    <w:p w:rsidR="009905DD" w:rsidRPr="00C80F5B" w:rsidRDefault="009905DD">
      <w:pPr>
        <w:numPr>
          <w:ilvl w:val="1"/>
          <w:numId w:val="3"/>
        </w:numPr>
        <w:jc w:val="both"/>
        <w:rPr>
          <w:rFonts w:ascii="Arial" w:hAnsi="Arial"/>
          <w:sz w:val="14"/>
          <w:szCs w:val="14"/>
        </w:rPr>
      </w:pPr>
      <w:r w:rsidRPr="00C80F5B">
        <w:rPr>
          <w:rFonts w:ascii="Arial" w:hAnsi="Arial"/>
          <w:sz w:val="14"/>
          <w:szCs w:val="14"/>
        </w:rPr>
        <w:t>di togliere effetto, con espressa dichiarazione contraria, all’atto compiuto dal difensore prima che, in relazione allo stesso, sia intervenuto un provvedimento del giudice (art. 99 C.P.P.);</w:t>
      </w:r>
    </w:p>
    <w:p w:rsidR="009905DD" w:rsidRPr="00C80F5B" w:rsidRDefault="009905DD">
      <w:pPr>
        <w:numPr>
          <w:ilvl w:val="1"/>
          <w:numId w:val="3"/>
        </w:numPr>
        <w:jc w:val="both"/>
        <w:rPr>
          <w:rFonts w:ascii="Arial" w:hAnsi="Arial"/>
          <w:sz w:val="14"/>
          <w:szCs w:val="14"/>
        </w:rPr>
      </w:pPr>
      <w:r w:rsidRPr="00C80F5B">
        <w:rPr>
          <w:rFonts w:ascii="Arial" w:hAnsi="Arial"/>
          <w:sz w:val="14"/>
          <w:szCs w:val="14"/>
        </w:rPr>
        <w:t xml:space="preserve">di richiedere la trasmissione degli atti ad diverso P.M. qualora si ritenga che sia competente (art. 54 </w:t>
      </w:r>
      <w:r w:rsidRPr="00C80F5B">
        <w:rPr>
          <w:rFonts w:ascii="Arial" w:hAnsi="Arial"/>
          <w:i/>
          <w:iCs/>
          <w:sz w:val="14"/>
          <w:szCs w:val="14"/>
        </w:rPr>
        <w:t xml:space="preserve">quater </w:t>
      </w:r>
      <w:r w:rsidRPr="00C80F5B">
        <w:rPr>
          <w:rFonts w:ascii="Arial" w:hAnsi="Arial"/>
          <w:sz w:val="14"/>
          <w:szCs w:val="14"/>
        </w:rPr>
        <w:t>C.P.P.);</w:t>
      </w:r>
    </w:p>
    <w:p w:rsidR="009905DD" w:rsidRPr="00C80F5B" w:rsidRDefault="009905DD">
      <w:pPr>
        <w:numPr>
          <w:ilvl w:val="1"/>
          <w:numId w:val="3"/>
        </w:numPr>
        <w:jc w:val="both"/>
        <w:rPr>
          <w:rFonts w:ascii="Arial" w:hAnsi="Arial"/>
          <w:sz w:val="14"/>
          <w:szCs w:val="14"/>
        </w:rPr>
      </w:pPr>
      <w:r w:rsidRPr="00C80F5B">
        <w:rPr>
          <w:rFonts w:ascii="Arial" w:hAnsi="Arial"/>
          <w:sz w:val="14"/>
          <w:szCs w:val="14"/>
        </w:rPr>
        <w:t>di chiedere a proprie spese copia degli atti depositati</w:t>
      </w:r>
      <w:r w:rsidR="00A70F4A" w:rsidRPr="00C80F5B">
        <w:rPr>
          <w:rFonts w:ascii="Arial" w:hAnsi="Arial"/>
          <w:sz w:val="14"/>
          <w:szCs w:val="14"/>
        </w:rPr>
        <w:t>, su autorizzazione del P.M. o del Giudice</w:t>
      </w:r>
      <w:r w:rsidR="00CA40E2" w:rsidRPr="00C80F5B">
        <w:rPr>
          <w:rFonts w:ascii="Arial" w:hAnsi="Arial"/>
          <w:sz w:val="14"/>
          <w:szCs w:val="14"/>
        </w:rPr>
        <w:t xml:space="preserve"> (art. 116 C.P.P.)</w:t>
      </w:r>
      <w:r w:rsidRPr="00C80F5B">
        <w:rPr>
          <w:rFonts w:ascii="Arial" w:hAnsi="Arial"/>
          <w:sz w:val="14"/>
          <w:szCs w:val="14"/>
        </w:rPr>
        <w:t>;</w:t>
      </w:r>
    </w:p>
    <w:p w:rsidR="009905DD" w:rsidRPr="00C80F5B" w:rsidRDefault="009905DD">
      <w:pPr>
        <w:numPr>
          <w:ilvl w:val="1"/>
          <w:numId w:val="3"/>
        </w:numPr>
        <w:jc w:val="both"/>
        <w:rPr>
          <w:rFonts w:ascii="Arial" w:hAnsi="Arial"/>
          <w:sz w:val="14"/>
          <w:szCs w:val="14"/>
        </w:rPr>
      </w:pPr>
      <w:r w:rsidRPr="00C80F5B">
        <w:rPr>
          <w:rFonts w:ascii="Arial" w:hAnsi="Arial"/>
          <w:sz w:val="14"/>
          <w:szCs w:val="14"/>
        </w:rPr>
        <w:t>di rendere spontanee dichiarazioni alla P.G o al P.M. (artt. 350 e 374 C.P.P) ;</w:t>
      </w:r>
    </w:p>
    <w:p w:rsidR="00E6439E" w:rsidRPr="00C80F5B" w:rsidRDefault="00E6439E">
      <w:pPr>
        <w:numPr>
          <w:ilvl w:val="1"/>
          <w:numId w:val="3"/>
        </w:numPr>
        <w:jc w:val="both"/>
        <w:rPr>
          <w:rFonts w:ascii="Arial" w:hAnsi="Arial"/>
          <w:sz w:val="14"/>
          <w:szCs w:val="14"/>
        </w:rPr>
      </w:pPr>
      <w:r w:rsidRPr="00C80F5B">
        <w:rPr>
          <w:rFonts w:ascii="Arial" w:hAnsi="Arial"/>
          <w:sz w:val="14"/>
          <w:szCs w:val="14"/>
        </w:rPr>
        <w:t>di chiedere l’assunzione di prove nelle forme previste (art. 190 C.P.P.) anche per tramite del difensore e dei poteri a lui conferiti in materia d’investigazioni difensive (art. 391-bis decies C.P.P.);</w:t>
      </w:r>
    </w:p>
    <w:p w:rsidR="009905DD" w:rsidRPr="00C80F5B" w:rsidRDefault="009905DD">
      <w:pPr>
        <w:numPr>
          <w:ilvl w:val="1"/>
          <w:numId w:val="3"/>
        </w:numPr>
        <w:jc w:val="both"/>
        <w:rPr>
          <w:rFonts w:ascii="Arial" w:hAnsi="Arial"/>
          <w:sz w:val="14"/>
          <w:szCs w:val="14"/>
          <w:lang w:val="de-DE"/>
        </w:rPr>
      </w:pPr>
      <w:r w:rsidRPr="00C80F5B">
        <w:rPr>
          <w:rFonts w:ascii="Arial" w:hAnsi="Arial"/>
          <w:sz w:val="14"/>
          <w:szCs w:val="14"/>
        </w:rPr>
        <w:t xml:space="preserve">di presentare istanza di oblazione nei casi previsti dalla legge (artt. </w:t>
      </w:r>
      <w:r w:rsidRPr="00C80F5B">
        <w:rPr>
          <w:rFonts w:ascii="Arial" w:hAnsi="Arial"/>
          <w:sz w:val="14"/>
          <w:szCs w:val="14"/>
          <w:lang w:val="de-DE"/>
        </w:rPr>
        <w:t xml:space="preserve">162 e 162 </w:t>
      </w:r>
      <w:r w:rsidRPr="00C80F5B">
        <w:rPr>
          <w:rFonts w:ascii="Arial" w:hAnsi="Arial"/>
          <w:i/>
          <w:iCs/>
          <w:sz w:val="14"/>
          <w:szCs w:val="14"/>
          <w:lang w:val="de-DE"/>
        </w:rPr>
        <w:t xml:space="preserve">bis </w:t>
      </w:r>
      <w:r w:rsidRPr="00C80F5B">
        <w:rPr>
          <w:rFonts w:ascii="Arial" w:hAnsi="Arial"/>
          <w:sz w:val="14"/>
          <w:szCs w:val="14"/>
          <w:lang w:val="de-DE"/>
        </w:rPr>
        <w:t>C.P.P.);</w:t>
      </w:r>
    </w:p>
    <w:p w:rsidR="009905DD" w:rsidRPr="00C80F5B" w:rsidRDefault="009905DD">
      <w:pPr>
        <w:numPr>
          <w:ilvl w:val="1"/>
          <w:numId w:val="3"/>
        </w:numPr>
        <w:jc w:val="both"/>
        <w:rPr>
          <w:rFonts w:ascii="Arial" w:hAnsi="Arial"/>
          <w:sz w:val="14"/>
          <w:szCs w:val="14"/>
        </w:rPr>
      </w:pPr>
      <w:r w:rsidRPr="00C80F5B">
        <w:rPr>
          <w:rFonts w:ascii="Arial" w:hAnsi="Arial"/>
          <w:sz w:val="14"/>
          <w:szCs w:val="14"/>
        </w:rPr>
        <w:t>di avere notizie sulle iscrizioni a suo caric</w:t>
      </w:r>
      <w:r w:rsidR="00E95BFA" w:rsidRPr="00C80F5B">
        <w:rPr>
          <w:rFonts w:ascii="Arial" w:hAnsi="Arial"/>
          <w:sz w:val="14"/>
          <w:szCs w:val="14"/>
        </w:rPr>
        <w:t>o</w:t>
      </w:r>
      <w:r w:rsidR="00CA40E2" w:rsidRPr="00C80F5B">
        <w:rPr>
          <w:rFonts w:ascii="Arial" w:hAnsi="Arial"/>
          <w:sz w:val="14"/>
          <w:szCs w:val="14"/>
        </w:rPr>
        <w:t xml:space="preserve"> (art. 335 C.P.P.)</w:t>
      </w:r>
      <w:r w:rsidR="00E95BFA" w:rsidRPr="00C80F5B">
        <w:rPr>
          <w:rFonts w:ascii="Arial" w:hAnsi="Arial"/>
          <w:sz w:val="14"/>
          <w:szCs w:val="14"/>
        </w:rPr>
        <w:t>;</w:t>
      </w:r>
    </w:p>
    <w:p w:rsidR="00E95BFA" w:rsidRPr="00C80F5B" w:rsidRDefault="00E95BFA">
      <w:pPr>
        <w:numPr>
          <w:ilvl w:val="1"/>
          <w:numId w:val="3"/>
        </w:numPr>
        <w:jc w:val="both"/>
        <w:rPr>
          <w:rFonts w:ascii="Arial" w:hAnsi="Arial"/>
          <w:sz w:val="14"/>
          <w:szCs w:val="14"/>
        </w:rPr>
      </w:pPr>
      <w:r w:rsidRPr="00C80F5B">
        <w:rPr>
          <w:rFonts w:ascii="Arial" w:hAnsi="Arial"/>
          <w:sz w:val="14"/>
          <w:szCs w:val="14"/>
        </w:rPr>
        <w:t>di richiedere il riesame</w:t>
      </w:r>
      <w:r w:rsidR="00E6439E" w:rsidRPr="00C80F5B">
        <w:rPr>
          <w:rFonts w:ascii="Arial" w:hAnsi="Arial"/>
          <w:sz w:val="14"/>
          <w:szCs w:val="14"/>
        </w:rPr>
        <w:t xml:space="preserve"> o proporre gravame per i provvedimenti </w:t>
      </w:r>
      <w:r w:rsidRPr="00C80F5B">
        <w:rPr>
          <w:rFonts w:ascii="Arial" w:hAnsi="Arial"/>
          <w:sz w:val="14"/>
          <w:szCs w:val="14"/>
        </w:rPr>
        <w:t>restrittivi</w:t>
      </w:r>
      <w:r w:rsidR="00E6439E" w:rsidRPr="00C80F5B">
        <w:rPr>
          <w:rFonts w:ascii="Arial" w:hAnsi="Arial"/>
          <w:sz w:val="14"/>
          <w:szCs w:val="14"/>
        </w:rPr>
        <w:t xml:space="preserve"> e di sequestro</w:t>
      </w:r>
      <w:r w:rsidRPr="00C80F5B">
        <w:rPr>
          <w:rFonts w:ascii="Arial" w:hAnsi="Arial"/>
          <w:sz w:val="14"/>
          <w:szCs w:val="14"/>
        </w:rPr>
        <w:t xml:space="preserve"> nonché di richiedere il dissequestro al P.M. </w:t>
      </w:r>
      <w:r w:rsidR="00E6439E" w:rsidRPr="00C80F5B">
        <w:rPr>
          <w:rFonts w:ascii="Arial" w:hAnsi="Arial"/>
          <w:sz w:val="14"/>
          <w:szCs w:val="14"/>
        </w:rPr>
        <w:t xml:space="preserve">e di proporre opposizione al Giudice in caso di diniego di questi </w:t>
      </w:r>
      <w:r w:rsidRPr="00C80F5B">
        <w:rPr>
          <w:rFonts w:ascii="Arial" w:hAnsi="Arial"/>
          <w:sz w:val="14"/>
          <w:szCs w:val="14"/>
        </w:rPr>
        <w:t>(artt. 309, 311, 262 e 263 C.P.P.);</w:t>
      </w:r>
    </w:p>
    <w:p w:rsidR="00E95BFA" w:rsidRPr="00C80F5B" w:rsidRDefault="00E95BFA">
      <w:pPr>
        <w:numPr>
          <w:ilvl w:val="1"/>
          <w:numId w:val="3"/>
        </w:numPr>
        <w:jc w:val="both"/>
        <w:rPr>
          <w:rFonts w:ascii="Arial" w:hAnsi="Arial"/>
          <w:sz w:val="14"/>
          <w:szCs w:val="14"/>
        </w:rPr>
      </w:pPr>
      <w:r w:rsidRPr="00C80F5B">
        <w:rPr>
          <w:rFonts w:ascii="Arial" w:hAnsi="Arial"/>
          <w:sz w:val="14"/>
          <w:szCs w:val="14"/>
        </w:rPr>
        <w:t xml:space="preserve">di richiedere l’incidente probatorio (artt. 392 e ss. C.P.P.); </w:t>
      </w:r>
    </w:p>
    <w:p w:rsidR="00E95BFA" w:rsidRPr="00C80F5B" w:rsidRDefault="00E95BFA">
      <w:pPr>
        <w:numPr>
          <w:ilvl w:val="1"/>
          <w:numId w:val="3"/>
        </w:numPr>
        <w:jc w:val="both"/>
        <w:rPr>
          <w:rFonts w:ascii="Arial" w:hAnsi="Arial"/>
          <w:sz w:val="14"/>
          <w:szCs w:val="14"/>
        </w:rPr>
      </w:pPr>
      <w:r w:rsidRPr="00C80F5B">
        <w:rPr>
          <w:rFonts w:ascii="Arial" w:hAnsi="Arial"/>
          <w:sz w:val="14"/>
          <w:szCs w:val="14"/>
        </w:rPr>
        <w:t>di avvalersi della facoltà di non rispondere in caso d’interrogatorio. In caso contrario le sue dichiarazioni potranno essere utilizzate anche nei suoi confronti e che in merito alle dichiarazioni inerenti le altrui responsabilità assumerà l’ufficio di testimone</w:t>
      </w:r>
      <w:r w:rsidR="00A70F4A" w:rsidRPr="00C80F5B">
        <w:rPr>
          <w:rFonts w:ascii="Arial" w:hAnsi="Arial"/>
          <w:sz w:val="14"/>
          <w:szCs w:val="14"/>
        </w:rPr>
        <w:t>, salvo le previste incompatibilità</w:t>
      </w:r>
      <w:r w:rsidRPr="00C80F5B">
        <w:rPr>
          <w:rFonts w:ascii="Arial" w:hAnsi="Arial"/>
          <w:sz w:val="14"/>
          <w:szCs w:val="14"/>
        </w:rPr>
        <w:t xml:space="preserve"> (artt. </w:t>
      </w:r>
      <w:r w:rsidR="00CA40E2" w:rsidRPr="00C80F5B">
        <w:rPr>
          <w:rFonts w:ascii="Arial" w:hAnsi="Arial"/>
          <w:sz w:val="14"/>
          <w:szCs w:val="14"/>
        </w:rPr>
        <w:t>64 c. 3, 197 e 197bis C.P.P);</w:t>
      </w:r>
    </w:p>
    <w:p w:rsidR="00CA40E2" w:rsidRPr="00C80F5B" w:rsidRDefault="00CA40E2" w:rsidP="00A70F4A">
      <w:pPr>
        <w:numPr>
          <w:ilvl w:val="1"/>
          <w:numId w:val="3"/>
        </w:numPr>
        <w:jc w:val="both"/>
        <w:rPr>
          <w:rFonts w:ascii="Arial" w:hAnsi="Arial"/>
          <w:sz w:val="14"/>
          <w:szCs w:val="14"/>
        </w:rPr>
      </w:pPr>
      <w:r w:rsidRPr="00C80F5B">
        <w:rPr>
          <w:rFonts w:ascii="Arial" w:hAnsi="Arial"/>
          <w:sz w:val="14"/>
          <w:szCs w:val="14"/>
        </w:rPr>
        <w:t>di avvalersi di riti alternativi (artt. 444-448, 438-443 e 453 C.P.P.);</w:t>
      </w:r>
    </w:p>
    <w:p w:rsidR="00CA40E2" w:rsidRPr="00C80F5B" w:rsidRDefault="00CA40E2">
      <w:pPr>
        <w:numPr>
          <w:ilvl w:val="1"/>
          <w:numId w:val="3"/>
        </w:numPr>
        <w:jc w:val="both"/>
        <w:rPr>
          <w:rFonts w:ascii="Arial" w:hAnsi="Arial"/>
          <w:sz w:val="14"/>
          <w:szCs w:val="14"/>
        </w:rPr>
      </w:pPr>
      <w:r w:rsidRPr="00C80F5B">
        <w:rPr>
          <w:rFonts w:ascii="Arial" w:hAnsi="Arial"/>
          <w:sz w:val="14"/>
          <w:szCs w:val="14"/>
        </w:rPr>
        <w:t>di essere informato sull’ora e sul luogo in cui vengono conferiti gli incarichi per l’espletamento di accertamenti tecnici irripetibili al fine di esercitare i previsti diritti</w:t>
      </w:r>
      <w:r w:rsidR="00A70F4A" w:rsidRPr="00C80F5B">
        <w:rPr>
          <w:rFonts w:ascii="Arial" w:hAnsi="Arial"/>
          <w:sz w:val="14"/>
          <w:szCs w:val="14"/>
        </w:rPr>
        <w:t xml:space="preserve"> ed in particolare: nominare un consulente tecnico, formulare riserva d’incidente probatorio</w:t>
      </w:r>
      <w:r w:rsidRPr="00C80F5B">
        <w:rPr>
          <w:rFonts w:ascii="Arial" w:hAnsi="Arial"/>
          <w:sz w:val="14"/>
          <w:szCs w:val="14"/>
        </w:rPr>
        <w:t xml:space="preserve"> (art. 360 C.P.P);</w:t>
      </w:r>
    </w:p>
    <w:p w:rsidR="00CA40E2" w:rsidRPr="00C80F5B" w:rsidRDefault="00CA40E2">
      <w:pPr>
        <w:numPr>
          <w:ilvl w:val="1"/>
          <w:numId w:val="3"/>
        </w:numPr>
        <w:jc w:val="both"/>
        <w:rPr>
          <w:rFonts w:ascii="Arial" w:hAnsi="Arial"/>
          <w:sz w:val="14"/>
          <w:szCs w:val="14"/>
        </w:rPr>
      </w:pPr>
      <w:r w:rsidRPr="00C80F5B">
        <w:rPr>
          <w:rFonts w:ascii="Arial" w:hAnsi="Arial"/>
          <w:sz w:val="14"/>
          <w:szCs w:val="14"/>
        </w:rPr>
        <w:t>di nominare consulenti tecnici di parte se previsto (art. 225 C.P.P.);</w:t>
      </w:r>
    </w:p>
    <w:p w:rsidR="006669D3" w:rsidRPr="00C80F5B" w:rsidRDefault="006669D3">
      <w:pPr>
        <w:numPr>
          <w:ilvl w:val="1"/>
          <w:numId w:val="3"/>
        </w:numPr>
        <w:jc w:val="both"/>
        <w:rPr>
          <w:rFonts w:ascii="Arial" w:hAnsi="Arial"/>
          <w:sz w:val="14"/>
          <w:szCs w:val="14"/>
        </w:rPr>
      </w:pPr>
      <w:r w:rsidRPr="00C80F5B">
        <w:rPr>
          <w:rFonts w:ascii="Arial" w:hAnsi="Arial"/>
          <w:sz w:val="14"/>
          <w:szCs w:val="14"/>
        </w:rPr>
        <w:t>di ricusare il giudice nei casi previsti (artt. 36 e ss. C.P.P.);</w:t>
      </w:r>
    </w:p>
    <w:p w:rsidR="00A70F4A" w:rsidRPr="00C80F5B" w:rsidRDefault="00A70F4A">
      <w:pPr>
        <w:numPr>
          <w:ilvl w:val="1"/>
          <w:numId w:val="3"/>
        </w:numPr>
        <w:jc w:val="both"/>
        <w:rPr>
          <w:rFonts w:ascii="Arial" w:hAnsi="Arial"/>
          <w:sz w:val="14"/>
          <w:szCs w:val="14"/>
        </w:rPr>
      </w:pPr>
      <w:r w:rsidRPr="00C80F5B">
        <w:rPr>
          <w:rFonts w:ascii="Arial" w:hAnsi="Arial"/>
          <w:sz w:val="14"/>
          <w:szCs w:val="14"/>
        </w:rPr>
        <w:t>di presentare dichiarazioni richieste e impugnazioni al direttore della Casa Circondariale se ivi ristretto oppure ad un UPG in caso di detenzione domiciliare (art. 123 C.P.P.);</w:t>
      </w:r>
    </w:p>
    <w:p w:rsidR="00A70F4A" w:rsidRPr="00C80F5B" w:rsidRDefault="00A70F4A">
      <w:pPr>
        <w:numPr>
          <w:ilvl w:val="1"/>
          <w:numId w:val="3"/>
        </w:numPr>
        <w:jc w:val="both"/>
        <w:rPr>
          <w:rFonts w:ascii="Arial" w:hAnsi="Arial"/>
          <w:sz w:val="14"/>
          <w:szCs w:val="14"/>
        </w:rPr>
      </w:pPr>
      <w:r w:rsidRPr="00C80F5B">
        <w:rPr>
          <w:rFonts w:ascii="Arial" w:hAnsi="Arial"/>
          <w:sz w:val="14"/>
          <w:szCs w:val="14"/>
        </w:rPr>
        <w:t xml:space="preserve">di farsi assistere o rappresentare da persona di fiducia, purché prontamente reperibile e idonea ex art. 120 C.P.P., </w:t>
      </w:r>
      <w:r w:rsidR="00FD0A2B" w:rsidRPr="00C80F5B">
        <w:rPr>
          <w:rFonts w:ascii="Arial" w:hAnsi="Arial"/>
          <w:sz w:val="14"/>
          <w:szCs w:val="14"/>
        </w:rPr>
        <w:t>nel caso di ispezioni o perquisizioni (artt. 245, 246, 249, 250 C.P.P);</w:t>
      </w:r>
    </w:p>
    <w:p w:rsidR="00FD0A2B" w:rsidRPr="00C80F5B" w:rsidRDefault="00FD0A2B">
      <w:pPr>
        <w:numPr>
          <w:ilvl w:val="1"/>
          <w:numId w:val="3"/>
        </w:numPr>
        <w:jc w:val="both"/>
        <w:rPr>
          <w:rFonts w:ascii="Arial" w:hAnsi="Arial"/>
          <w:sz w:val="14"/>
          <w:szCs w:val="14"/>
        </w:rPr>
      </w:pPr>
      <w:r w:rsidRPr="00C80F5B">
        <w:rPr>
          <w:rFonts w:ascii="Arial" w:hAnsi="Arial"/>
          <w:sz w:val="14"/>
          <w:szCs w:val="14"/>
        </w:rPr>
        <w:t>di essere informato della conclusione delle indagini preliminari, qualora il P.M. non richieda l’archiviazione, e della facoltà, entro 20 gg, di presentare memorie o documenti e di chiedere al P.M. di compiere atti d’indagine nonché di presentarsi per rilasciare dichiarazioni ovvero chiedere di essere sottoposto ad interrogatorio (art. 415-bis C.P.P.).</w:t>
      </w:r>
    </w:p>
    <w:p w:rsidR="009905DD" w:rsidRPr="00C80F5B" w:rsidRDefault="009905DD">
      <w:pPr>
        <w:numPr>
          <w:ilvl w:val="0"/>
          <w:numId w:val="3"/>
        </w:numPr>
        <w:jc w:val="both"/>
        <w:rPr>
          <w:rFonts w:ascii="Arial" w:hAnsi="Arial"/>
          <w:sz w:val="14"/>
          <w:szCs w:val="14"/>
        </w:rPr>
      </w:pPr>
      <w:r w:rsidRPr="00C80F5B">
        <w:rPr>
          <w:rFonts w:ascii="Arial" w:hAnsi="Arial"/>
          <w:sz w:val="14"/>
          <w:szCs w:val="14"/>
        </w:rPr>
        <w:t>che la Costituzione italiana all’art 111 stabilisce</w:t>
      </w:r>
      <w:r w:rsidR="00FD0A2B" w:rsidRPr="00C80F5B">
        <w:rPr>
          <w:rFonts w:ascii="Arial" w:hAnsi="Arial"/>
          <w:sz w:val="14"/>
          <w:szCs w:val="14"/>
        </w:rPr>
        <w:t xml:space="preserve"> i principi del processo penale come segue:</w:t>
      </w:r>
    </w:p>
    <w:p w:rsidR="00FD0A2B" w:rsidRPr="00C80F5B" w:rsidRDefault="00FD0A2B" w:rsidP="00FD0A2B">
      <w:pPr>
        <w:pStyle w:val="codartr1"/>
        <w:numPr>
          <w:ilvl w:val="1"/>
          <w:numId w:val="3"/>
        </w:numPr>
        <w:rPr>
          <w:rFonts w:ascii="Arial" w:hAnsi="Arial"/>
          <w:sz w:val="14"/>
          <w:szCs w:val="14"/>
        </w:rPr>
      </w:pPr>
      <w:r w:rsidRPr="00C80F5B">
        <w:rPr>
          <w:rFonts w:ascii="Arial" w:hAnsi="Arial"/>
          <w:sz w:val="14"/>
          <w:szCs w:val="14"/>
        </w:rPr>
        <w:t xml:space="preserve">La giurisdizione si attua mediante il giusto processo regolato dalla legge. Ogni processo si svolge nel contradditorio tra le parti, in condizioni di parità, davanti a giudice terzo e imparziale. La legge ne assicura la ragionevole durata. Nel processo penale, la legge assicura che la persona accusata di un reato sia, nel più breve tempo possibile, informata riservatamente della natura e dei motivi dell'accusa elevata a suo carico; disponga del tempo e delle condizioni necessari per preparare la sua difesa; abbia la facoltà, davanti al giudice, di interrogare o di far interrogare le persone che rendono dichiarazioni a suo carico, di ottenere la convocazione e l'interrogatorio di persone a sua difesa nelle stesse condizioni dell'accusa e l'acquisizione di ogni altro mezzo di prova a suo favore; sia assistita da un interprete se non comprende o non parla la lingua impiegata nel processo. Il processo penale è regolato dal principio del contradditorio nella formazione della prova. La colpevolezza dell'imputato non può essere provata sulla base di dichiarazioni rese da chi, per libera scelta, si è sempre volontariamente sottratto all'interrogatorio da parte dell'imputato o del suo difensore. La legge regola i casi la cui formazione della prova non ha luogo in contradditorio per consenso dell'imputato o per accertata impossibilità di natura oggettiva o per effetto di provata condotta illecita. Tutti i provvedimenti giurisdizionali devono essere motivati </w:t>
      </w:r>
      <w:hyperlink r:id="rId9" w:history="1">
        <w:r w:rsidRPr="00C80F5B">
          <w:rPr>
            <w:rFonts w:ascii="Arial" w:hAnsi="Arial"/>
            <w:sz w:val="14"/>
            <w:szCs w:val="14"/>
          </w:rPr>
          <w:t>[Cost. 13, 14, 15, 21]</w:t>
        </w:r>
      </w:hyperlink>
      <w:r w:rsidRPr="00C80F5B">
        <w:rPr>
          <w:rFonts w:ascii="Arial" w:hAnsi="Arial"/>
          <w:sz w:val="14"/>
          <w:szCs w:val="14"/>
        </w:rPr>
        <w:t xml:space="preserve">. Contro le sentenze e contro i provvedimenti sulla libertà personale </w:t>
      </w:r>
      <w:hyperlink r:id="rId10" w:history="1">
        <w:r w:rsidRPr="00C80F5B">
          <w:rPr>
            <w:rFonts w:ascii="Arial" w:hAnsi="Arial"/>
            <w:sz w:val="14"/>
            <w:szCs w:val="14"/>
          </w:rPr>
          <w:t>[Cost. 13]</w:t>
        </w:r>
      </w:hyperlink>
      <w:r w:rsidRPr="00C80F5B">
        <w:rPr>
          <w:rFonts w:ascii="Arial" w:hAnsi="Arial"/>
          <w:sz w:val="14"/>
          <w:szCs w:val="14"/>
        </w:rPr>
        <w:t xml:space="preserve">, pronunciati dagli organi giurisdizionali ordinari o speciali, è sempre ammesso ricorso in Cassazione per violazione di legge </w:t>
      </w:r>
      <w:hyperlink r:id="rId11" w:history="1">
        <w:r w:rsidRPr="00C80F5B">
          <w:rPr>
            <w:rFonts w:ascii="Arial" w:hAnsi="Arial"/>
            <w:sz w:val="14"/>
            <w:szCs w:val="14"/>
          </w:rPr>
          <w:t>[Cost. 137]</w:t>
        </w:r>
      </w:hyperlink>
      <w:r w:rsidRPr="00C80F5B">
        <w:rPr>
          <w:rFonts w:ascii="Arial" w:hAnsi="Arial"/>
          <w:sz w:val="14"/>
          <w:szCs w:val="14"/>
        </w:rPr>
        <w:t xml:space="preserve">. Si può derogare a tale norma soltanto per le sentenze dei Tribunali militari in tempo di guerra </w:t>
      </w:r>
      <w:hyperlink r:id="rId12" w:history="1">
        <w:r w:rsidRPr="00C80F5B">
          <w:rPr>
            <w:rFonts w:ascii="Arial" w:hAnsi="Arial"/>
            <w:sz w:val="14"/>
            <w:szCs w:val="14"/>
          </w:rPr>
          <w:t>[Cost. 103; disp. att. Cost. VI]</w:t>
        </w:r>
      </w:hyperlink>
      <w:r w:rsidRPr="00C80F5B">
        <w:rPr>
          <w:rFonts w:ascii="Arial" w:hAnsi="Arial"/>
          <w:sz w:val="14"/>
          <w:szCs w:val="14"/>
        </w:rPr>
        <w:t xml:space="preserve">. Contro le decisioni del Consiglio di Stato e della Corte dei conti il ricorso in Cassazione è ammesso per i soli motivi inerenti alla giurisdizione </w:t>
      </w:r>
      <w:hyperlink r:id="rId13" w:history="1">
        <w:r w:rsidRPr="00C80F5B">
          <w:rPr>
            <w:rFonts w:ascii="Arial" w:hAnsi="Arial"/>
            <w:sz w:val="14"/>
            <w:szCs w:val="14"/>
          </w:rPr>
          <w:t>[Cost. 131]</w:t>
        </w:r>
      </w:hyperlink>
      <w:r w:rsidRPr="00C80F5B">
        <w:rPr>
          <w:rFonts w:ascii="Arial" w:hAnsi="Arial"/>
          <w:sz w:val="14"/>
          <w:szCs w:val="14"/>
        </w:rPr>
        <w:t>.</w:t>
      </w:r>
    </w:p>
    <w:p w:rsidR="00FD0A2B" w:rsidRDefault="00FD0A2B" w:rsidP="00FD0A2B">
      <w:pPr>
        <w:ind w:left="720"/>
        <w:jc w:val="both"/>
        <w:rPr>
          <w:rFonts w:ascii="Arial" w:hAnsi="Arial"/>
        </w:rPr>
      </w:pPr>
    </w:p>
    <w:p w:rsidR="009905DD" w:rsidRDefault="009905DD">
      <w:pPr>
        <w:jc w:val="both"/>
        <w:rPr>
          <w:rFonts w:ascii="Arial" w:hAnsi="Arial"/>
        </w:rPr>
      </w:pPr>
    </w:p>
    <w:p w:rsidR="009905DD" w:rsidRDefault="009905DD">
      <w:pPr>
        <w:jc w:val="both"/>
        <w:rPr>
          <w:rFonts w:ascii="Arial" w:hAnsi="Arial"/>
        </w:rPr>
      </w:pPr>
    </w:p>
    <w:p w:rsidR="009905DD" w:rsidRDefault="009905DD">
      <w:pPr>
        <w:rPr>
          <w:rFonts w:ascii="Arial" w:hAnsi="Arial" w:cs="Arial"/>
          <w:b/>
          <w:sz w:val="16"/>
          <w:szCs w:val="16"/>
        </w:rPr>
      </w:pPr>
      <w:r>
        <w:rPr>
          <w:rFonts w:ascii="Arial" w:hAnsi="Arial" w:cs="Arial"/>
          <w:b/>
          <w:sz w:val="16"/>
          <w:szCs w:val="16"/>
        </w:rPr>
        <w:t xml:space="preserve">       _____________________________</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_____________________________</w:t>
      </w:r>
    </w:p>
    <w:p w:rsidR="009905DD" w:rsidRDefault="009905DD">
      <w:pPr>
        <w:rPr>
          <w:rFonts w:ascii="Arial" w:hAnsi="Arial" w:cs="Arial"/>
          <w:b/>
          <w:sz w:val="16"/>
          <w:szCs w:val="16"/>
        </w:rPr>
      </w:pPr>
    </w:p>
    <w:p w:rsidR="009905DD" w:rsidRDefault="009905DD">
      <w:pPr>
        <w:rPr>
          <w:rFonts w:ascii="Arial" w:hAnsi="Arial" w:cs="Arial"/>
          <w:b/>
          <w:sz w:val="16"/>
          <w:szCs w:val="16"/>
        </w:rPr>
      </w:pPr>
      <w:r>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Pr>
          <w:rFonts w:ascii="Arial" w:hAnsi="Arial" w:cs="Arial"/>
          <w:b/>
          <w:sz w:val="16"/>
          <w:szCs w:val="16"/>
        </w:rPr>
        <w:tab/>
        <w:t xml:space="preserve">               _____________________________</w:t>
      </w:r>
    </w:p>
    <w:p w:rsidR="009905DD" w:rsidRDefault="009905DD">
      <w:pPr>
        <w:rPr>
          <w:rFonts w:ascii="Arial" w:hAnsi="Arial"/>
          <w:sz w:val="24"/>
        </w:rPr>
      </w:pPr>
    </w:p>
    <w:sectPr w:rsidR="009905DD" w:rsidSect="004E675D">
      <w:headerReference w:type="default" r:id="rId14"/>
      <w:pgSz w:w="11907" w:h="16840" w:code="9"/>
      <w:pgMar w:top="567" w:right="567" w:bottom="567"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701" w:rsidRDefault="00026701" w:rsidP="00C80F5B">
      <w:r>
        <w:separator/>
      </w:r>
    </w:p>
  </w:endnote>
  <w:endnote w:type="continuationSeparator" w:id="1">
    <w:p w:rsidR="00026701" w:rsidRDefault="00026701" w:rsidP="00C80F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701" w:rsidRDefault="00026701" w:rsidP="00C80F5B">
      <w:r>
        <w:separator/>
      </w:r>
    </w:p>
  </w:footnote>
  <w:footnote w:type="continuationSeparator" w:id="1">
    <w:p w:rsidR="00026701" w:rsidRDefault="00026701" w:rsidP="00C80F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F5B" w:rsidRDefault="00486101" w:rsidP="00C80F5B">
    <w:pPr>
      <w:pStyle w:val="Titolo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pt;margin-top:-8.4pt;width:46.5pt;height:51.05pt;z-index:251660288" fillcolor="window">
          <v:imagedata r:id="rId1" o:title=""/>
          <w10:wrap type="topAndBottom" side="right"/>
        </v:shape>
        <o:OLEObject Type="Embed" ProgID="PBrush" ShapeID="_x0000_s2049" DrawAspect="Content" ObjectID="_1521532391" r:id="rId2"/>
      </w:pict>
    </w:r>
    <w:r w:rsidR="00C80F5B">
      <w:t>CITTA’  DI  ALBENGA</w:t>
    </w:r>
  </w:p>
  <w:p w:rsidR="00C80F5B" w:rsidRDefault="00C80F5B" w:rsidP="00C80F5B">
    <w:pPr>
      <w:pStyle w:val="Corpodeltesto"/>
      <w:jc w:val="center"/>
      <w:rPr>
        <w:sz w:val="24"/>
      </w:rPr>
    </w:pPr>
    <w:r>
      <w:rPr>
        <w:sz w:val="24"/>
      </w:rPr>
      <w:t>AREA VIGILANZA VIABILITA’</w:t>
    </w:r>
  </w:p>
  <w:p w:rsidR="00C80F5B" w:rsidRDefault="00C80F5B" w:rsidP="00C80F5B">
    <w:pPr>
      <w:pStyle w:val="Corpodeltesto"/>
      <w:jc w:val="center"/>
      <w:rPr>
        <w:sz w:val="24"/>
      </w:rPr>
    </w:pPr>
    <w:r>
      <w:rPr>
        <w:sz w:val="24"/>
      </w:rPr>
      <w:t>CORPO POLIZIA MUNICIPALE</w:t>
    </w:r>
  </w:p>
  <w:p w:rsidR="00C80F5B" w:rsidRDefault="00C80F5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7E8BD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97466"/>
    <w:multiLevelType w:val="hybridMultilevel"/>
    <w:tmpl w:val="61E644B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E1E15CC"/>
    <w:multiLevelType w:val="hybridMultilevel"/>
    <w:tmpl w:val="D3D2AC7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71726BE8"/>
    <w:multiLevelType w:val="hybridMultilevel"/>
    <w:tmpl w:val="BDA03C74"/>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stylePaneSortMethod w:val="000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FB7C4D"/>
    <w:rsid w:val="00026701"/>
    <w:rsid w:val="00093F87"/>
    <w:rsid w:val="000D2732"/>
    <w:rsid w:val="00112738"/>
    <w:rsid w:val="00132243"/>
    <w:rsid w:val="001A57A5"/>
    <w:rsid w:val="001B5BB2"/>
    <w:rsid w:val="001F4D27"/>
    <w:rsid w:val="003014DB"/>
    <w:rsid w:val="003153D6"/>
    <w:rsid w:val="0032327D"/>
    <w:rsid w:val="00346977"/>
    <w:rsid w:val="00473078"/>
    <w:rsid w:val="00486101"/>
    <w:rsid w:val="004E675D"/>
    <w:rsid w:val="00505109"/>
    <w:rsid w:val="005A5ED2"/>
    <w:rsid w:val="005B3F2A"/>
    <w:rsid w:val="00650DBF"/>
    <w:rsid w:val="006669D3"/>
    <w:rsid w:val="00762D76"/>
    <w:rsid w:val="00772F92"/>
    <w:rsid w:val="007C5FFB"/>
    <w:rsid w:val="007E384E"/>
    <w:rsid w:val="00876CE3"/>
    <w:rsid w:val="008A481B"/>
    <w:rsid w:val="00970DED"/>
    <w:rsid w:val="00981AF1"/>
    <w:rsid w:val="0098295E"/>
    <w:rsid w:val="009905DD"/>
    <w:rsid w:val="009C4F7B"/>
    <w:rsid w:val="009C6F25"/>
    <w:rsid w:val="00A26164"/>
    <w:rsid w:val="00A57215"/>
    <w:rsid w:val="00A70F4A"/>
    <w:rsid w:val="00A809D6"/>
    <w:rsid w:val="00A92C1C"/>
    <w:rsid w:val="00AB3C87"/>
    <w:rsid w:val="00AB588F"/>
    <w:rsid w:val="00B36E32"/>
    <w:rsid w:val="00C0147C"/>
    <w:rsid w:val="00C452CF"/>
    <w:rsid w:val="00C80F5B"/>
    <w:rsid w:val="00C83DD7"/>
    <w:rsid w:val="00C9173B"/>
    <w:rsid w:val="00CA40E2"/>
    <w:rsid w:val="00D03B8D"/>
    <w:rsid w:val="00D80BEB"/>
    <w:rsid w:val="00DE1FC1"/>
    <w:rsid w:val="00DF586A"/>
    <w:rsid w:val="00E250D3"/>
    <w:rsid w:val="00E53F23"/>
    <w:rsid w:val="00E6439E"/>
    <w:rsid w:val="00E95BFA"/>
    <w:rsid w:val="00EE3627"/>
    <w:rsid w:val="00F1614F"/>
    <w:rsid w:val="00F35456"/>
    <w:rsid w:val="00F36ACF"/>
    <w:rsid w:val="00FB3969"/>
    <w:rsid w:val="00FB4080"/>
    <w:rsid w:val="00FB7C4D"/>
    <w:rsid w:val="00FD0A2B"/>
    <w:rsid w:val="00FE04AF"/>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675D"/>
  </w:style>
  <w:style w:type="paragraph" w:styleId="Titolo1">
    <w:name w:val="heading 1"/>
    <w:basedOn w:val="Normale"/>
    <w:next w:val="Normale"/>
    <w:qFormat/>
    <w:rsid w:val="004E675D"/>
    <w:pPr>
      <w:keepNext/>
      <w:jc w:val="center"/>
      <w:outlineLvl w:val="0"/>
    </w:pPr>
    <w:rPr>
      <w:rFonts w:ascii="Arial" w:hAnsi="Arial"/>
      <w:i/>
      <w:sz w:val="24"/>
    </w:rPr>
  </w:style>
  <w:style w:type="paragraph" w:styleId="Titolo2">
    <w:name w:val="heading 2"/>
    <w:basedOn w:val="Normale"/>
    <w:next w:val="Normale"/>
    <w:qFormat/>
    <w:rsid w:val="004E675D"/>
    <w:pPr>
      <w:keepNext/>
      <w:jc w:val="center"/>
      <w:outlineLvl w:val="1"/>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E675D"/>
    <w:pPr>
      <w:tabs>
        <w:tab w:val="center" w:pos="4819"/>
        <w:tab w:val="right" w:pos="9638"/>
      </w:tabs>
    </w:pPr>
    <w:rPr>
      <w:rFonts w:ascii="Courier New" w:hAnsi="Courier New"/>
      <w:sz w:val="24"/>
    </w:rPr>
  </w:style>
  <w:style w:type="paragraph" w:styleId="Didascalia">
    <w:name w:val="caption"/>
    <w:basedOn w:val="Normale"/>
    <w:next w:val="Normale"/>
    <w:qFormat/>
    <w:rsid w:val="004E675D"/>
    <w:pPr>
      <w:jc w:val="center"/>
    </w:pPr>
    <w:rPr>
      <w:b/>
      <w:sz w:val="32"/>
    </w:rPr>
  </w:style>
  <w:style w:type="character" w:customStyle="1" w:styleId="IntestazioneCarattere">
    <w:name w:val="Intestazione Carattere"/>
    <w:basedOn w:val="Carpredefinitoparagrafo"/>
    <w:link w:val="Intestazione"/>
    <w:rsid w:val="0098351E"/>
    <w:rPr>
      <w:rFonts w:ascii="Courier New" w:hAnsi="Courier New"/>
      <w:sz w:val="24"/>
    </w:rPr>
  </w:style>
  <w:style w:type="paragraph" w:styleId="Testofumetto">
    <w:name w:val="Balloon Text"/>
    <w:basedOn w:val="Normale"/>
    <w:link w:val="TestofumettoCarattere"/>
    <w:uiPriority w:val="99"/>
    <w:semiHidden/>
    <w:unhideWhenUsed/>
    <w:rsid w:val="001A57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57A5"/>
    <w:rPr>
      <w:rFonts w:ascii="Tahoma" w:hAnsi="Tahoma" w:cs="Tahoma"/>
      <w:sz w:val="16"/>
      <w:szCs w:val="16"/>
    </w:rPr>
  </w:style>
  <w:style w:type="paragraph" w:customStyle="1" w:styleId="codartr1">
    <w:name w:val="codart_r1"/>
    <w:basedOn w:val="Normale"/>
    <w:rsid w:val="00FD0A2B"/>
    <w:pPr>
      <w:spacing w:before="100" w:beforeAutospacing="1" w:after="100" w:afterAutospacing="1"/>
      <w:jc w:val="both"/>
    </w:pPr>
    <w:rPr>
      <w:sz w:val="24"/>
      <w:szCs w:val="24"/>
    </w:rPr>
  </w:style>
  <w:style w:type="paragraph" w:styleId="Paragrafoelenco">
    <w:name w:val="List Paragraph"/>
    <w:basedOn w:val="Normale"/>
    <w:uiPriority w:val="34"/>
    <w:qFormat/>
    <w:rsid w:val="003153D6"/>
    <w:pPr>
      <w:ind w:left="720"/>
      <w:contextualSpacing/>
    </w:pPr>
  </w:style>
  <w:style w:type="character" w:customStyle="1" w:styleId="linkneltesto">
    <w:name w:val="link_nel_testo"/>
    <w:basedOn w:val="Carpredefinitoparagrafo"/>
    <w:rsid w:val="003153D6"/>
    <w:rPr>
      <w:i/>
      <w:iCs/>
    </w:rPr>
  </w:style>
  <w:style w:type="character" w:customStyle="1" w:styleId="nero">
    <w:name w:val="nero"/>
    <w:basedOn w:val="Carpredefinitoparagrafo"/>
    <w:rsid w:val="00F1614F"/>
  </w:style>
  <w:style w:type="paragraph" w:styleId="Pidipagina">
    <w:name w:val="footer"/>
    <w:basedOn w:val="Normale"/>
    <w:link w:val="PidipaginaCarattere"/>
    <w:uiPriority w:val="99"/>
    <w:semiHidden/>
    <w:unhideWhenUsed/>
    <w:rsid w:val="00C80F5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80F5B"/>
  </w:style>
  <w:style w:type="paragraph" w:styleId="Corpodeltesto">
    <w:name w:val="Body Text"/>
    <w:basedOn w:val="Normale"/>
    <w:link w:val="CorpodeltestoCarattere"/>
    <w:semiHidden/>
    <w:rsid w:val="00C80F5B"/>
    <w:rPr>
      <w:sz w:val="32"/>
      <w:szCs w:val="24"/>
    </w:rPr>
  </w:style>
  <w:style w:type="character" w:customStyle="1" w:styleId="CorpodeltestoCarattere">
    <w:name w:val="Corpo del testo Carattere"/>
    <w:basedOn w:val="Carpredefinitoparagrafo"/>
    <w:link w:val="Corpodeltesto"/>
    <w:semiHidden/>
    <w:rsid w:val="00C80F5B"/>
    <w:rPr>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center"/>
      <w:outlineLvl w:val="0"/>
    </w:pPr>
    <w:rPr>
      <w:rFonts w:ascii="Arial" w:hAnsi="Arial"/>
      <w:i/>
      <w:sz w:val="24"/>
    </w:rPr>
  </w:style>
  <w:style w:type="paragraph" w:styleId="Titolo2">
    <w:name w:val="heading 2"/>
    <w:basedOn w:val="Normale"/>
    <w:next w:val="Normale"/>
    <w:qFormat/>
    <w:pPr>
      <w:keepNext/>
      <w:jc w:val="center"/>
      <w:outlineLvl w:val="1"/>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rPr>
      <w:rFonts w:ascii="Courier New" w:hAnsi="Courier New"/>
      <w:sz w:val="24"/>
    </w:rPr>
  </w:style>
  <w:style w:type="paragraph" w:styleId="Didascalia">
    <w:name w:val="caption"/>
    <w:basedOn w:val="Normale"/>
    <w:next w:val="Normale"/>
    <w:qFormat/>
    <w:pPr>
      <w:jc w:val="center"/>
    </w:pPr>
    <w:rPr>
      <w:b/>
      <w:sz w:val="32"/>
    </w:rPr>
  </w:style>
  <w:style w:type="character" w:customStyle="1" w:styleId="IntestazioneCarattere">
    <w:name w:val="Intestazione Carattere"/>
    <w:basedOn w:val="Carpredefinitoparagrafo"/>
    <w:link w:val="Intestazione"/>
    <w:rsid w:val="0098351E"/>
    <w:rPr>
      <w:rFonts w:ascii="Courier New" w:hAnsi="Courier New"/>
      <w:sz w:val="24"/>
    </w:rPr>
  </w:style>
  <w:style w:type="paragraph" w:styleId="Testofumetto">
    <w:name w:val="Balloon Text"/>
    <w:basedOn w:val="Normale"/>
    <w:link w:val="TestofumettoCarattere"/>
    <w:uiPriority w:val="99"/>
    <w:semiHidden/>
    <w:unhideWhenUsed/>
    <w:rsid w:val="001A57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57A5"/>
    <w:rPr>
      <w:rFonts w:ascii="Tahoma" w:hAnsi="Tahoma" w:cs="Tahoma"/>
      <w:sz w:val="16"/>
      <w:szCs w:val="16"/>
    </w:rPr>
  </w:style>
  <w:style w:type="paragraph" w:customStyle="1" w:styleId="codartr1">
    <w:name w:val="codart_r1"/>
    <w:basedOn w:val="Normale"/>
    <w:rsid w:val="00FD0A2B"/>
    <w:pPr>
      <w:spacing w:before="100" w:beforeAutospacing="1" w:after="100" w:afterAutospacing="1"/>
      <w:jc w:val="both"/>
    </w:pPr>
    <w:rPr>
      <w:sz w:val="24"/>
      <w:szCs w:val="24"/>
    </w:rPr>
  </w:style>
  <w:style w:type="paragraph" w:styleId="Paragrafoelenco">
    <w:name w:val="List Paragraph"/>
    <w:basedOn w:val="Normale"/>
    <w:uiPriority w:val="34"/>
    <w:qFormat/>
    <w:rsid w:val="003153D6"/>
    <w:pPr>
      <w:ind w:left="720"/>
      <w:contextualSpacing/>
    </w:pPr>
  </w:style>
  <w:style w:type="character" w:customStyle="1" w:styleId="linkneltesto">
    <w:name w:val="link_nel_testo"/>
    <w:basedOn w:val="Carpredefinitoparagrafo"/>
    <w:rsid w:val="003153D6"/>
    <w:rPr>
      <w:i/>
      <w:iCs/>
    </w:rPr>
  </w:style>
  <w:style w:type="character" w:customStyle="1" w:styleId="nero">
    <w:name w:val="nero"/>
    <w:basedOn w:val="Carpredefinitoparagrafo"/>
    <w:rsid w:val="00F1614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51122ART93" TargetMode="External"/><Relationship Id="rId13" Type="http://schemas.openxmlformats.org/officeDocument/2006/relationships/hyperlink" Target="http://bd05.leggiditalia.it/cgi-bin/FulShow?TIPO=5&amp;NOTXT=1&amp;KEY=05AC00009955&am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d05.leggiditalia.it/cgi-bin/FulShow?TIPO=5&amp;NOTXT=1&amp;KEY=05AC00009986+o+05AC00009940&amp;"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5.leggiditalia.it/cgi-bin/FulShow?TIPO=5&amp;NOTXT=1&amp;KEY=05AC00009948&am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d05.leggiditalia.it/cgi-bin/FulShow?TIPO=5&amp;NOTXT=1&amp;KEY=05AC00009957&amp;" TargetMode="External"/><Relationship Id="rId4" Type="http://schemas.openxmlformats.org/officeDocument/2006/relationships/settings" Target="settings.xml"/><Relationship Id="rId9" Type="http://schemas.openxmlformats.org/officeDocument/2006/relationships/hyperlink" Target="http://bd05.leggiditalia.it/cgi-bin/FulShow?TIPO=5&amp;NOTXT=1&amp;KEY=05AC00009957+o+05AC00009951+o+05AC00009935+o+05AC00009920&am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D3134-3975-48A8-BCA5-A37C4870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1846</Words>
  <Characters>10526</Characters>
  <Application>Microsoft Office Word</Application>
  <DocSecurity>0</DocSecurity>
  <Lines>87</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Arma dei Carabinieri</Company>
  <LinksUpToDate>false</LinksUpToDate>
  <CharactersWithSpaces>12348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 dei Carabinieri</dc:creator>
  <cp:lastModifiedBy>Angelo</cp:lastModifiedBy>
  <cp:revision>2</cp:revision>
  <cp:lastPrinted>2015-03-16T15:53:00Z</cp:lastPrinted>
  <dcterms:created xsi:type="dcterms:W3CDTF">2016-04-07T09:07:00Z</dcterms:created>
  <dcterms:modified xsi:type="dcterms:W3CDTF">2016-04-07T09:07:00Z</dcterms:modified>
</cp:coreProperties>
</file>